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宋体" w:hAnsi="宋体"/>
          <w:snapToGrid w:val="0"/>
          <w:sz w:val="44"/>
          <w:szCs w:val="44"/>
        </w:rPr>
      </w:pPr>
    </w:p>
    <w:p>
      <w:pPr>
        <w:spacing w:line="500" w:lineRule="exact"/>
        <w:jc w:val="center"/>
        <w:rPr>
          <w:rFonts w:hint="eastAsia" w:ascii="华文楷体" w:hAnsi="华文楷体" w:eastAsia="华文楷体"/>
          <w:b/>
          <w:sz w:val="44"/>
        </w:rPr>
      </w:pPr>
      <w:r>
        <w:rPr>
          <w:rFonts w:hint="eastAsia" w:ascii="华文楷体" w:hAnsi="华文楷体" w:eastAsia="华文楷体"/>
          <w:b/>
          <w:sz w:val="44"/>
          <w:lang w:eastAsia="zh-CN"/>
        </w:rPr>
        <w:t>滁州丰乐</w:t>
      </w:r>
      <w:r>
        <w:rPr>
          <w:rFonts w:hint="eastAsia" w:ascii="华文楷体" w:hAnsi="华文楷体" w:eastAsia="华文楷体"/>
          <w:b/>
          <w:sz w:val="44"/>
        </w:rPr>
        <w:t>4S店中央空调采购及安装工程</w:t>
      </w:r>
    </w:p>
    <w:p>
      <w:pPr>
        <w:adjustRightInd w:val="0"/>
        <w:snapToGrid w:val="0"/>
        <w:spacing w:line="360" w:lineRule="auto"/>
        <w:jc w:val="center"/>
        <w:rPr>
          <w:rFonts w:ascii="宋体" w:hAnsi="宋体"/>
          <w:b/>
          <w:snapToGrid w:val="0"/>
        </w:rPr>
      </w:pPr>
    </w:p>
    <w:p>
      <w:pPr>
        <w:adjustRightInd w:val="0"/>
        <w:snapToGrid w:val="0"/>
        <w:spacing w:line="360" w:lineRule="auto"/>
        <w:jc w:val="center"/>
        <w:rPr>
          <w:rFonts w:ascii="宋体" w:hAnsi="宋体"/>
          <w:b/>
          <w:snapToGrid w:val="0"/>
        </w:rPr>
      </w:pPr>
    </w:p>
    <w:p>
      <w:pPr>
        <w:adjustRightInd w:val="0"/>
        <w:snapToGrid w:val="0"/>
        <w:spacing w:line="360" w:lineRule="auto"/>
        <w:jc w:val="center"/>
        <w:rPr>
          <w:rFonts w:ascii="宋体" w:hAnsi="宋体"/>
          <w:b/>
          <w:snapToGrid w:val="0"/>
        </w:rPr>
      </w:pPr>
    </w:p>
    <w:p>
      <w:pPr>
        <w:adjustRightInd w:val="0"/>
        <w:snapToGrid w:val="0"/>
        <w:spacing w:line="360" w:lineRule="auto"/>
        <w:jc w:val="center"/>
        <w:rPr>
          <w:rFonts w:ascii="宋体" w:hAnsi="宋体"/>
          <w:b/>
          <w:snapToGrid w:val="0"/>
        </w:rPr>
      </w:pPr>
    </w:p>
    <w:p>
      <w:pPr>
        <w:adjustRightInd w:val="0"/>
        <w:snapToGrid w:val="0"/>
        <w:spacing w:line="360" w:lineRule="auto"/>
        <w:jc w:val="center"/>
        <w:rPr>
          <w:rFonts w:ascii="宋体" w:hAnsi="宋体"/>
          <w:b/>
          <w:snapToGrid w:val="0"/>
        </w:rPr>
      </w:pPr>
    </w:p>
    <w:p>
      <w:pPr>
        <w:adjustRightInd w:val="0"/>
        <w:snapToGrid w:val="0"/>
        <w:spacing w:line="360" w:lineRule="auto"/>
        <w:jc w:val="center"/>
        <w:rPr>
          <w:rFonts w:ascii="宋体" w:hAnsi="宋体"/>
          <w:b/>
          <w:snapToGrid w:val="0"/>
        </w:rPr>
      </w:pPr>
    </w:p>
    <w:p>
      <w:pPr>
        <w:spacing w:line="600" w:lineRule="exact"/>
        <w:jc w:val="center"/>
        <w:rPr>
          <w:rFonts w:hint="eastAsia" w:ascii="华文楷体" w:hAnsi="华文楷体" w:eastAsia="华文楷体"/>
          <w:b/>
          <w:spacing w:val="48"/>
          <w:sz w:val="52"/>
          <w:lang w:eastAsia="zh-CN"/>
        </w:rPr>
      </w:pPr>
      <w:r>
        <w:rPr>
          <w:rFonts w:hint="eastAsia" w:ascii="华文楷体" w:hAnsi="华文楷体" w:eastAsia="华文楷体"/>
          <w:b/>
          <w:spacing w:val="48"/>
          <w:sz w:val="52"/>
          <w:lang w:eastAsia="zh-CN"/>
        </w:rPr>
        <w:t>招标文件</w:t>
      </w:r>
    </w:p>
    <w:p>
      <w:pPr>
        <w:adjustRightInd w:val="0"/>
        <w:snapToGrid w:val="0"/>
        <w:spacing w:line="360" w:lineRule="auto"/>
        <w:ind w:firstLine="1290" w:firstLineChars="430"/>
        <w:rPr>
          <w:rFonts w:ascii="宋体" w:hAnsi="宋体"/>
          <w:snapToGrid w:val="0"/>
          <w:sz w:val="30"/>
        </w:rPr>
      </w:pPr>
    </w:p>
    <w:p>
      <w:pPr>
        <w:adjustRightInd w:val="0"/>
        <w:snapToGrid w:val="0"/>
        <w:spacing w:line="360" w:lineRule="auto"/>
        <w:ind w:firstLine="1290" w:firstLineChars="430"/>
        <w:rPr>
          <w:rFonts w:ascii="宋体" w:hAnsi="宋体"/>
          <w:snapToGrid w:val="0"/>
          <w:sz w:val="30"/>
        </w:rPr>
      </w:pPr>
    </w:p>
    <w:p>
      <w:pPr>
        <w:adjustRightInd w:val="0"/>
        <w:snapToGrid w:val="0"/>
        <w:spacing w:line="360" w:lineRule="auto"/>
        <w:ind w:firstLine="1290" w:firstLineChars="430"/>
        <w:rPr>
          <w:rFonts w:ascii="宋体" w:hAnsi="宋体"/>
          <w:snapToGrid w:val="0"/>
          <w:sz w:val="30"/>
        </w:rPr>
      </w:pPr>
    </w:p>
    <w:p>
      <w:pPr>
        <w:adjustRightInd w:val="0"/>
        <w:snapToGrid w:val="0"/>
        <w:spacing w:line="360" w:lineRule="auto"/>
        <w:ind w:firstLine="1290" w:firstLineChars="430"/>
        <w:rPr>
          <w:rFonts w:ascii="宋体" w:hAnsi="宋体"/>
          <w:snapToGrid w:val="0"/>
          <w:sz w:val="30"/>
        </w:rPr>
      </w:pPr>
    </w:p>
    <w:p>
      <w:pPr>
        <w:adjustRightInd w:val="0"/>
        <w:snapToGrid w:val="0"/>
        <w:spacing w:line="360" w:lineRule="auto"/>
        <w:ind w:firstLine="1290" w:firstLineChars="430"/>
        <w:rPr>
          <w:rFonts w:ascii="宋体" w:hAnsi="宋体"/>
          <w:snapToGrid w:val="0"/>
          <w:sz w:val="30"/>
        </w:rPr>
      </w:pPr>
    </w:p>
    <w:p>
      <w:pPr>
        <w:adjustRightInd w:val="0"/>
        <w:snapToGrid w:val="0"/>
        <w:spacing w:line="360" w:lineRule="auto"/>
        <w:ind w:firstLine="1290" w:firstLineChars="430"/>
        <w:rPr>
          <w:rFonts w:ascii="宋体" w:hAnsi="宋体"/>
          <w:snapToGrid w:val="0"/>
          <w:sz w:val="30"/>
        </w:rPr>
      </w:pPr>
    </w:p>
    <w:p>
      <w:pPr>
        <w:adjustRightInd w:val="0"/>
        <w:snapToGrid w:val="0"/>
        <w:spacing w:line="360" w:lineRule="auto"/>
        <w:ind w:firstLine="1290" w:firstLineChars="430"/>
        <w:rPr>
          <w:rFonts w:ascii="宋体" w:hAnsi="宋体"/>
          <w:snapToGrid w:val="0"/>
          <w:sz w:val="30"/>
          <w:u w:val="single"/>
        </w:rPr>
      </w:pPr>
    </w:p>
    <w:p>
      <w:pPr>
        <w:ind w:firstLine="1124" w:firstLineChars="350"/>
        <w:rPr>
          <w:rFonts w:hint="eastAsia" w:ascii="楷体_GB2312" w:eastAsia="楷体_GB2312"/>
          <w:b/>
          <w:color w:val="000000"/>
          <w:sz w:val="32"/>
          <w:u w:val="single"/>
        </w:rPr>
      </w:pPr>
      <w:r>
        <w:rPr>
          <w:rFonts w:hint="eastAsia" w:ascii="楷体_GB2312" w:eastAsia="楷体_GB2312"/>
          <w:b/>
          <w:color w:val="000000"/>
          <w:sz w:val="32"/>
        </w:rPr>
        <w:t>招 标 人：安徽天泓丰乐汽车服务有限公司</w:t>
      </w:r>
    </w:p>
    <w:p>
      <w:pPr>
        <w:spacing w:line="800" w:lineRule="exact"/>
        <w:ind w:firstLine="1044" w:firstLineChars="325"/>
        <w:rPr>
          <w:rFonts w:hint="eastAsia" w:ascii="楷体_GB2312" w:eastAsia="楷体_GB2312"/>
          <w:b/>
          <w:color w:val="000000"/>
          <w:sz w:val="32"/>
        </w:rPr>
      </w:pPr>
    </w:p>
    <w:p>
      <w:pPr>
        <w:spacing w:line="800" w:lineRule="exact"/>
        <w:ind w:firstLine="1084" w:firstLineChars="300"/>
        <w:rPr>
          <w:rFonts w:hint="eastAsia" w:ascii="楷体_GB2312" w:eastAsia="楷体_GB2312"/>
          <w:b/>
          <w:color w:val="000000"/>
          <w:sz w:val="32"/>
          <w:u w:val="single"/>
        </w:rPr>
      </w:pPr>
      <w:r>
        <w:rPr>
          <w:rFonts w:hint="eastAsia" w:ascii="楷体_GB2312" w:eastAsia="楷体_GB2312"/>
          <w:b/>
          <w:color w:val="000000"/>
          <w:spacing w:val="20"/>
          <w:sz w:val="32"/>
        </w:rPr>
        <w:t>发出日期</w:t>
      </w:r>
      <w:r>
        <w:rPr>
          <w:rFonts w:hint="eastAsia" w:ascii="楷体_GB2312" w:eastAsia="楷体_GB2312"/>
          <w:b/>
          <w:color w:val="000000"/>
          <w:sz w:val="32"/>
        </w:rPr>
        <w:t xml:space="preserve">：    </w:t>
      </w:r>
      <w:r>
        <w:rPr>
          <w:rFonts w:hint="eastAsia" w:ascii="楷体_GB2312" w:hAnsi="宋体" w:eastAsia="楷体_GB2312" w:cs="宋体"/>
          <w:kern w:val="0"/>
          <w:sz w:val="28"/>
          <w:szCs w:val="28"/>
        </w:rPr>
        <w:t>201</w:t>
      </w:r>
      <w:r>
        <w:rPr>
          <w:rFonts w:hint="eastAsia" w:ascii="楷体_GB2312" w:hAnsi="宋体" w:eastAsia="楷体_GB2312" w:cs="宋体"/>
          <w:kern w:val="0"/>
          <w:sz w:val="28"/>
          <w:szCs w:val="28"/>
          <w:lang w:val="en-US" w:eastAsia="zh-CN"/>
        </w:rPr>
        <w:t>8</w:t>
      </w:r>
      <w:r>
        <w:rPr>
          <w:rFonts w:hint="eastAsia" w:ascii="楷体_GB2312" w:hAnsi="宋体" w:eastAsia="楷体_GB2312" w:cs="宋体"/>
          <w:kern w:val="0"/>
          <w:sz w:val="28"/>
          <w:szCs w:val="28"/>
        </w:rPr>
        <w:t>年</w:t>
      </w:r>
      <w:r>
        <w:rPr>
          <w:rFonts w:hint="eastAsia" w:ascii="楷体_GB2312" w:hAnsi="宋体" w:eastAsia="楷体_GB2312" w:cs="宋体"/>
          <w:kern w:val="0"/>
          <w:sz w:val="28"/>
          <w:szCs w:val="28"/>
          <w:lang w:val="en-US" w:eastAsia="zh-CN"/>
        </w:rPr>
        <w:t>4</w:t>
      </w:r>
      <w:r>
        <w:rPr>
          <w:rFonts w:hint="eastAsia" w:ascii="楷体_GB2312" w:hAnsi="宋体" w:eastAsia="楷体_GB2312" w:cs="宋体"/>
          <w:kern w:val="0"/>
          <w:sz w:val="28"/>
          <w:szCs w:val="28"/>
        </w:rPr>
        <w:t>月</w:t>
      </w:r>
      <w:r>
        <w:rPr>
          <w:rFonts w:hint="eastAsia" w:ascii="楷体_GB2312" w:hAnsi="宋体" w:eastAsia="楷体_GB2312" w:cs="宋体"/>
          <w:kern w:val="0"/>
          <w:sz w:val="28"/>
          <w:szCs w:val="28"/>
          <w:lang w:val="en-US" w:eastAsia="zh-CN"/>
        </w:rPr>
        <w:t xml:space="preserve"> 19</w:t>
      </w:r>
      <w:bookmarkStart w:id="27" w:name="_GoBack"/>
      <w:bookmarkEnd w:id="27"/>
      <w:r>
        <w:rPr>
          <w:rFonts w:hint="eastAsia" w:ascii="楷体_GB2312" w:hAnsi="宋体" w:eastAsia="楷体_GB2312" w:cs="宋体"/>
          <w:kern w:val="0"/>
          <w:sz w:val="28"/>
          <w:szCs w:val="28"/>
          <w:lang w:val="en-US" w:eastAsia="zh-CN"/>
        </w:rPr>
        <w:t xml:space="preserve"> </w:t>
      </w:r>
      <w:r>
        <w:rPr>
          <w:rFonts w:hint="eastAsia" w:ascii="楷体_GB2312" w:hAnsi="宋体" w:eastAsia="楷体_GB2312" w:cs="宋体"/>
          <w:kern w:val="0"/>
          <w:sz w:val="28"/>
          <w:szCs w:val="28"/>
        </w:rPr>
        <w:t>日</w:t>
      </w:r>
    </w:p>
    <w:p>
      <w:pPr>
        <w:spacing w:line="360" w:lineRule="auto"/>
        <w:jc w:val="center"/>
        <w:rPr>
          <w:rFonts w:ascii="宋体" w:hAnsi="宋体"/>
          <w:b/>
          <w:sz w:val="52"/>
        </w:rPr>
      </w:pPr>
    </w:p>
    <w:p>
      <w:pPr>
        <w:spacing w:line="360" w:lineRule="auto"/>
        <w:jc w:val="center"/>
        <w:rPr>
          <w:rFonts w:ascii="宋体" w:hAnsi="宋体"/>
          <w:b/>
          <w:sz w:val="52"/>
        </w:rPr>
        <w:sectPr>
          <w:headerReference r:id="rId3" w:type="default"/>
          <w:footerReference r:id="rId4" w:type="default"/>
          <w:footerReference r:id="rId5" w:type="even"/>
          <w:pgSz w:w="11906" w:h="16838"/>
          <w:pgMar w:top="1246" w:right="1486" w:bottom="1440" w:left="1800" w:header="851" w:footer="992" w:gutter="0"/>
          <w:cols w:space="720" w:num="1"/>
          <w:docGrid w:type="lines" w:linePitch="312" w:charSpace="0"/>
        </w:sectPr>
      </w:pPr>
    </w:p>
    <w:p>
      <w:pPr>
        <w:pStyle w:val="112"/>
        <w:jc w:val="center"/>
      </w:pPr>
      <w:r>
        <w:rPr>
          <w:lang w:val="zh-CN"/>
        </w:rPr>
        <w:t>目录</w:t>
      </w:r>
    </w:p>
    <w:p>
      <w:pPr>
        <w:pStyle w:val="34"/>
        <w:tabs>
          <w:tab w:val="right" w:leader="dot" w:pos="8620"/>
        </w:tabs>
      </w:pPr>
      <w:r>
        <w:rPr>
          <w:rFonts w:ascii="宋体" w:hAnsi="宋体"/>
          <w:sz w:val="24"/>
        </w:rPr>
        <w:fldChar w:fldCharType="begin"/>
      </w:r>
      <w:r>
        <w:rPr>
          <w:rFonts w:ascii="宋体" w:hAnsi="宋体"/>
          <w:sz w:val="24"/>
        </w:rPr>
        <w:instrText xml:space="preserve"> TOC \o "1-3" \h \z \u </w:instrText>
      </w:r>
      <w:r>
        <w:rPr>
          <w:rFonts w:ascii="宋体" w:hAnsi="宋体"/>
          <w:sz w:val="24"/>
        </w:rPr>
        <w:fldChar w:fldCharType="separate"/>
      </w:r>
      <w:r>
        <w:rPr>
          <w:rFonts w:ascii="宋体" w:hAnsi="宋体"/>
        </w:rPr>
        <w:fldChar w:fldCharType="begin"/>
      </w:r>
      <w:r>
        <w:rPr>
          <w:rFonts w:ascii="宋体" w:hAnsi="宋体"/>
        </w:rPr>
        <w:instrText xml:space="preserve"> HYPERLINK \l _Toc27499 </w:instrText>
      </w:r>
      <w:r>
        <w:rPr>
          <w:rFonts w:ascii="宋体" w:hAnsi="宋体"/>
        </w:rPr>
        <w:fldChar w:fldCharType="separate"/>
      </w:r>
      <w:r>
        <w:rPr>
          <w:rFonts w:hint="eastAsia"/>
          <w:snapToGrid w:val="0"/>
        </w:rPr>
        <w:t>第一章投标须知</w:t>
      </w:r>
      <w:r>
        <w:tab/>
      </w:r>
      <w:r>
        <w:fldChar w:fldCharType="begin"/>
      </w:r>
      <w:r>
        <w:instrText xml:space="preserve"> PAGEREF _Toc27499 </w:instrText>
      </w:r>
      <w:r>
        <w:fldChar w:fldCharType="separate"/>
      </w:r>
      <w:r>
        <w:t>3</w:t>
      </w:r>
      <w:r>
        <w:fldChar w:fldCharType="end"/>
      </w:r>
      <w:r>
        <w:rPr>
          <w:rFonts w:ascii="宋体" w:hAnsi="宋体"/>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_Toc17390 </w:instrText>
      </w:r>
      <w:r>
        <w:rPr>
          <w:rFonts w:ascii="宋体" w:hAnsi="宋体"/>
          <w:kern w:val="0"/>
          <w:szCs w:val="20"/>
        </w:rPr>
        <w:fldChar w:fldCharType="separate"/>
      </w:r>
      <w:r>
        <w:rPr>
          <w:rFonts w:hint="eastAsia" w:ascii="黑体" w:hAnsi="黑体"/>
          <w:snapToGrid w:val="0"/>
          <w:szCs w:val="28"/>
        </w:rPr>
        <w:t>前附表</w:t>
      </w:r>
      <w:r>
        <w:tab/>
      </w:r>
      <w:r>
        <w:fldChar w:fldCharType="begin"/>
      </w:r>
      <w:r>
        <w:instrText xml:space="preserve"> PAGEREF _Toc17390 </w:instrText>
      </w:r>
      <w:r>
        <w:fldChar w:fldCharType="separate"/>
      </w:r>
      <w:r>
        <w:t>3</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_Toc22814 </w:instrText>
      </w:r>
      <w:r>
        <w:rPr>
          <w:rFonts w:ascii="宋体" w:hAnsi="宋体"/>
          <w:kern w:val="0"/>
          <w:szCs w:val="20"/>
        </w:rPr>
        <w:fldChar w:fldCharType="separate"/>
      </w:r>
      <w:r>
        <w:rPr>
          <w:rFonts w:hint="eastAsia" w:ascii="黑体" w:hAnsi="黑体"/>
          <w:snapToGrid w:val="0"/>
          <w:szCs w:val="28"/>
        </w:rPr>
        <w:t>一、总    则</w:t>
      </w:r>
      <w:r>
        <w:tab/>
      </w:r>
      <w:r>
        <w:fldChar w:fldCharType="begin"/>
      </w:r>
      <w:r>
        <w:instrText xml:space="preserve"> PAGEREF _Toc22814 </w:instrText>
      </w:r>
      <w:r>
        <w:fldChar w:fldCharType="separate"/>
      </w:r>
      <w:r>
        <w:t>4</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_Toc1494 </w:instrText>
      </w:r>
      <w:r>
        <w:rPr>
          <w:rFonts w:ascii="宋体" w:hAnsi="宋体"/>
          <w:kern w:val="0"/>
          <w:szCs w:val="20"/>
        </w:rPr>
        <w:fldChar w:fldCharType="separate"/>
      </w:r>
      <w:r>
        <w:rPr>
          <w:rFonts w:hint="eastAsia" w:ascii="黑体" w:hAnsi="黑体"/>
          <w:snapToGrid w:val="0"/>
          <w:szCs w:val="28"/>
        </w:rPr>
        <w:t>二、招  标  文  件</w:t>
      </w:r>
      <w:r>
        <w:tab/>
      </w:r>
      <w:r>
        <w:fldChar w:fldCharType="begin"/>
      </w:r>
      <w:r>
        <w:instrText xml:space="preserve"> PAGEREF _Toc1494 </w:instrText>
      </w:r>
      <w:r>
        <w:fldChar w:fldCharType="separate"/>
      </w:r>
      <w:r>
        <w:t>5</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_Toc8578 </w:instrText>
      </w:r>
      <w:r>
        <w:rPr>
          <w:rFonts w:ascii="宋体" w:hAnsi="宋体"/>
          <w:kern w:val="0"/>
          <w:szCs w:val="20"/>
        </w:rPr>
        <w:fldChar w:fldCharType="separate"/>
      </w:r>
      <w:r>
        <w:rPr>
          <w:rFonts w:hint="eastAsia" w:ascii="黑体" w:hAnsi="黑体"/>
          <w:snapToGrid w:val="0"/>
          <w:szCs w:val="28"/>
        </w:rPr>
        <w:t>三、投  标  报  价</w:t>
      </w:r>
      <w:r>
        <w:tab/>
      </w:r>
      <w:r>
        <w:fldChar w:fldCharType="begin"/>
      </w:r>
      <w:r>
        <w:instrText xml:space="preserve"> PAGEREF _Toc8578 </w:instrText>
      </w:r>
      <w:r>
        <w:fldChar w:fldCharType="separate"/>
      </w:r>
      <w:r>
        <w:t>6</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_Toc29944 </w:instrText>
      </w:r>
      <w:r>
        <w:rPr>
          <w:rFonts w:ascii="宋体" w:hAnsi="宋体"/>
          <w:kern w:val="0"/>
          <w:szCs w:val="20"/>
        </w:rPr>
        <w:fldChar w:fldCharType="separate"/>
      </w:r>
      <w:r>
        <w:rPr>
          <w:rFonts w:hint="eastAsia" w:ascii="黑体" w:hAnsi="黑体"/>
          <w:snapToGrid w:val="0"/>
          <w:szCs w:val="28"/>
        </w:rPr>
        <w:t>四、投标文件的编制</w:t>
      </w:r>
      <w:r>
        <w:tab/>
      </w:r>
      <w:r>
        <w:fldChar w:fldCharType="begin"/>
      </w:r>
      <w:r>
        <w:instrText xml:space="preserve"> PAGEREF _Toc29944 </w:instrText>
      </w:r>
      <w:r>
        <w:fldChar w:fldCharType="separate"/>
      </w:r>
      <w:r>
        <w:t>8</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_Toc9050 </w:instrText>
      </w:r>
      <w:r>
        <w:rPr>
          <w:rFonts w:ascii="宋体" w:hAnsi="宋体"/>
          <w:kern w:val="0"/>
          <w:szCs w:val="20"/>
        </w:rPr>
        <w:fldChar w:fldCharType="separate"/>
      </w:r>
      <w:r>
        <w:rPr>
          <w:rFonts w:hint="eastAsia" w:ascii="黑体" w:hAnsi="黑体"/>
          <w:snapToGrid w:val="0"/>
          <w:szCs w:val="28"/>
        </w:rPr>
        <w:t>五、投标文件的递交</w:t>
      </w:r>
      <w:r>
        <w:tab/>
      </w:r>
      <w:r>
        <w:fldChar w:fldCharType="begin"/>
      </w:r>
      <w:r>
        <w:instrText xml:space="preserve"> PAGEREF _Toc9050 </w:instrText>
      </w:r>
      <w:r>
        <w:fldChar w:fldCharType="separate"/>
      </w:r>
      <w:r>
        <w:t>9</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_Toc2390 </w:instrText>
      </w:r>
      <w:r>
        <w:rPr>
          <w:rFonts w:ascii="宋体" w:hAnsi="宋体"/>
          <w:kern w:val="0"/>
          <w:szCs w:val="20"/>
        </w:rPr>
        <w:fldChar w:fldCharType="separate"/>
      </w:r>
      <w:r>
        <w:rPr>
          <w:rFonts w:hint="eastAsia" w:ascii="黑体" w:hAnsi="黑体"/>
          <w:snapToGrid w:val="0"/>
          <w:szCs w:val="28"/>
        </w:rPr>
        <w:t>六、开   标</w:t>
      </w:r>
      <w:r>
        <w:tab/>
      </w:r>
      <w:r>
        <w:fldChar w:fldCharType="begin"/>
      </w:r>
      <w:r>
        <w:instrText xml:space="preserve"> PAGEREF _Toc2390 </w:instrText>
      </w:r>
      <w:r>
        <w:fldChar w:fldCharType="separate"/>
      </w:r>
      <w:r>
        <w:t>10</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_Toc424 </w:instrText>
      </w:r>
      <w:r>
        <w:rPr>
          <w:rFonts w:ascii="宋体" w:hAnsi="宋体"/>
          <w:kern w:val="0"/>
          <w:szCs w:val="20"/>
        </w:rPr>
        <w:fldChar w:fldCharType="separate"/>
      </w:r>
      <w:r>
        <w:rPr>
          <w:rFonts w:hint="eastAsia" w:ascii="黑体" w:hAnsi="黑体"/>
          <w:snapToGrid w:val="0"/>
          <w:szCs w:val="28"/>
        </w:rPr>
        <w:t>七、评   标</w:t>
      </w:r>
      <w:r>
        <w:tab/>
      </w:r>
      <w:r>
        <w:fldChar w:fldCharType="begin"/>
      </w:r>
      <w:r>
        <w:instrText xml:space="preserve"> PAGEREF _Toc424 </w:instrText>
      </w:r>
      <w:r>
        <w:fldChar w:fldCharType="separate"/>
      </w:r>
      <w:r>
        <w:t>10</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_Toc24786 </w:instrText>
      </w:r>
      <w:r>
        <w:rPr>
          <w:rFonts w:ascii="宋体" w:hAnsi="宋体"/>
          <w:kern w:val="0"/>
          <w:szCs w:val="20"/>
        </w:rPr>
        <w:fldChar w:fldCharType="separate"/>
      </w:r>
      <w:r>
        <w:rPr>
          <w:rFonts w:hint="eastAsia" w:ascii="黑体" w:hAnsi="黑体"/>
          <w:snapToGrid w:val="0"/>
          <w:szCs w:val="28"/>
        </w:rPr>
        <w:t>八、授  予  合  同</w:t>
      </w:r>
      <w:r>
        <w:tab/>
      </w:r>
      <w:r>
        <w:fldChar w:fldCharType="begin"/>
      </w:r>
      <w:r>
        <w:instrText xml:space="preserve"> PAGEREF _Toc24786 </w:instrText>
      </w:r>
      <w:r>
        <w:fldChar w:fldCharType="separate"/>
      </w:r>
      <w:r>
        <w:t>14</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_Toc22051 </w:instrText>
      </w:r>
      <w:r>
        <w:rPr>
          <w:rFonts w:ascii="宋体" w:hAnsi="宋体"/>
          <w:kern w:val="0"/>
          <w:szCs w:val="20"/>
        </w:rPr>
        <w:fldChar w:fldCharType="separate"/>
      </w:r>
      <w:r>
        <w:rPr>
          <w:rFonts w:hint="eastAsia"/>
          <w:snapToGrid w:val="0"/>
        </w:rPr>
        <w:t>第二章</w:t>
      </w:r>
      <w:r>
        <w:tab/>
      </w:r>
      <w:r>
        <w:fldChar w:fldCharType="begin"/>
      </w:r>
      <w:r>
        <w:instrText xml:space="preserve"> PAGEREF _Toc22051 </w:instrText>
      </w:r>
      <w:r>
        <w:fldChar w:fldCharType="separate"/>
      </w:r>
      <w:r>
        <w:t>15</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_Toc15417 </w:instrText>
      </w:r>
      <w:r>
        <w:rPr>
          <w:rFonts w:ascii="宋体" w:hAnsi="宋体"/>
          <w:kern w:val="0"/>
          <w:szCs w:val="20"/>
        </w:rPr>
        <w:fldChar w:fldCharType="separate"/>
      </w:r>
      <w:r>
        <w:rPr>
          <w:rFonts w:hint="eastAsia"/>
          <w:snapToGrid w:val="0"/>
        </w:rPr>
        <w:t>施工合同</w:t>
      </w:r>
      <w:r>
        <w:tab/>
      </w:r>
      <w:r>
        <w:fldChar w:fldCharType="begin"/>
      </w:r>
      <w:r>
        <w:instrText xml:space="preserve"> PAGEREF _Toc15417 </w:instrText>
      </w:r>
      <w:r>
        <w:fldChar w:fldCharType="separate"/>
      </w:r>
      <w:r>
        <w:t>15</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_Toc31883 </w:instrText>
      </w:r>
      <w:r>
        <w:rPr>
          <w:rFonts w:ascii="宋体" w:hAnsi="宋体"/>
          <w:kern w:val="0"/>
          <w:szCs w:val="20"/>
        </w:rPr>
        <w:fldChar w:fldCharType="separate"/>
      </w:r>
      <w:r>
        <w:rPr>
          <w:rFonts w:hint="eastAsia" w:ascii="黑体" w:hAnsi="黑体"/>
          <w:snapToGrid w:val="0"/>
          <w:szCs w:val="28"/>
        </w:rPr>
        <w:t>工程质量保修书</w:t>
      </w:r>
      <w:r>
        <w:tab/>
      </w:r>
      <w:r>
        <w:fldChar w:fldCharType="begin"/>
      </w:r>
      <w:r>
        <w:instrText xml:space="preserve"> PAGEREF _Toc31883 </w:instrText>
      </w:r>
      <w:r>
        <w:fldChar w:fldCharType="separate"/>
      </w:r>
      <w:r>
        <w:t>18</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_Toc21960 </w:instrText>
      </w:r>
      <w:r>
        <w:rPr>
          <w:rFonts w:ascii="宋体" w:hAnsi="宋体"/>
          <w:kern w:val="0"/>
          <w:szCs w:val="20"/>
        </w:rPr>
        <w:fldChar w:fldCharType="separate"/>
      </w:r>
      <w:r>
        <w:rPr>
          <w:rFonts w:hint="eastAsia"/>
          <w:snapToGrid w:val="0"/>
        </w:rPr>
        <w:t>第三章技术规范</w:t>
      </w:r>
      <w:r>
        <w:tab/>
      </w:r>
      <w:r>
        <w:fldChar w:fldCharType="begin"/>
      </w:r>
      <w:r>
        <w:instrText xml:space="preserve"> PAGEREF _Toc21960 </w:instrText>
      </w:r>
      <w:r>
        <w:fldChar w:fldCharType="separate"/>
      </w:r>
      <w:r>
        <w:t>20</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_Toc26018 </w:instrText>
      </w:r>
      <w:r>
        <w:rPr>
          <w:rFonts w:ascii="宋体" w:hAnsi="宋体"/>
          <w:kern w:val="0"/>
          <w:szCs w:val="20"/>
        </w:rPr>
        <w:fldChar w:fldCharType="separate"/>
      </w:r>
      <w:r>
        <w:rPr>
          <w:rFonts w:hint="eastAsia"/>
          <w:snapToGrid w:val="0"/>
        </w:rPr>
        <w:t>第四章工程量清单</w:t>
      </w:r>
      <w:r>
        <w:tab/>
      </w:r>
      <w:r>
        <w:fldChar w:fldCharType="begin"/>
      </w:r>
      <w:r>
        <w:instrText xml:space="preserve"> PAGEREF _Toc26018 </w:instrText>
      </w:r>
      <w:r>
        <w:fldChar w:fldCharType="separate"/>
      </w:r>
      <w:r>
        <w:t>21</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_Toc25807 </w:instrText>
      </w:r>
      <w:r>
        <w:rPr>
          <w:rFonts w:ascii="宋体" w:hAnsi="宋体"/>
          <w:kern w:val="0"/>
          <w:szCs w:val="20"/>
        </w:rPr>
        <w:fldChar w:fldCharType="separate"/>
      </w:r>
      <w:r>
        <w:rPr>
          <w:rFonts w:hint="eastAsia"/>
          <w:snapToGrid w:val="0"/>
        </w:rPr>
        <w:t>第五章图纸和技术资料（另附）</w:t>
      </w:r>
      <w:r>
        <w:tab/>
      </w:r>
      <w:r>
        <w:fldChar w:fldCharType="begin"/>
      </w:r>
      <w:r>
        <w:instrText xml:space="preserve"> PAGEREF _Toc25807 </w:instrText>
      </w:r>
      <w:r>
        <w:fldChar w:fldCharType="separate"/>
      </w:r>
      <w:r>
        <w:t>21</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_Toc5832 </w:instrText>
      </w:r>
      <w:r>
        <w:rPr>
          <w:rFonts w:ascii="宋体" w:hAnsi="宋体"/>
          <w:kern w:val="0"/>
          <w:szCs w:val="20"/>
        </w:rPr>
        <w:fldChar w:fldCharType="separate"/>
      </w:r>
      <w:r>
        <w:rPr>
          <w:rFonts w:hint="eastAsia"/>
          <w:snapToGrid w:val="0"/>
        </w:rPr>
        <w:t>第六章投标文件(格式)</w:t>
      </w:r>
      <w:r>
        <w:tab/>
      </w:r>
      <w:r>
        <w:fldChar w:fldCharType="begin"/>
      </w:r>
      <w:r>
        <w:instrText xml:space="preserve"> PAGEREF _Toc5832 </w:instrText>
      </w:r>
      <w:r>
        <w:fldChar w:fldCharType="separate"/>
      </w:r>
      <w:r>
        <w:t>22</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_Toc32593 </w:instrText>
      </w:r>
      <w:r>
        <w:rPr>
          <w:rFonts w:ascii="宋体" w:hAnsi="宋体"/>
          <w:kern w:val="0"/>
          <w:szCs w:val="20"/>
        </w:rPr>
        <w:fldChar w:fldCharType="separate"/>
      </w:r>
      <w:r>
        <w:rPr>
          <w:rFonts w:hint="eastAsia" w:ascii="黑体" w:hAnsi="黑体"/>
          <w:snapToGrid w:val="0"/>
          <w:szCs w:val="28"/>
        </w:rPr>
        <w:t>一 投标函</w:t>
      </w:r>
      <w:r>
        <w:tab/>
      </w:r>
      <w:r>
        <w:fldChar w:fldCharType="begin"/>
      </w:r>
      <w:r>
        <w:instrText xml:space="preserve"> PAGEREF _Toc32593 </w:instrText>
      </w:r>
      <w:r>
        <w:fldChar w:fldCharType="separate"/>
      </w:r>
      <w:r>
        <w:t>23</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_Toc25480 </w:instrText>
      </w:r>
      <w:r>
        <w:rPr>
          <w:rFonts w:ascii="宋体" w:hAnsi="宋体"/>
          <w:kern w:val="0"/>
          <w:szCs w:val="20"/>
        </w:rPr>
        <w:fldChar w:fldCharType="separate"/>
      </w:r>
      <w:r>
        <w:rPr>
          <w:rFonts w:hint="eastAsia" w:ascii="黑体" w:hAnsi="黑体"/>
          <w:snapToGrid w:val="0"/>
          <w:szCs w:val="28"/>
        </w:rPr>
        <w:t>二 法定代表人资格证明书</w:t>
      </w:r>
      <w:r>
        <w:tab/>
      </w:r>
      <w:r>
        <w:fldChar w:fldCharType="begin"/>
      </w:r>
      <w:r>
        <w:instrText xml:space="preserve"> PAGEREF _Toc25480 </w:instrText>
      </w:r>
      <w:r>
        <w:fldChar w:fldCharType="separate"/>
      </w:r>
      <w:r>
        <w:t>24</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_Toc20957 </w:instrText>
      </w:r>
      <w:r>
        <w:rPr>
          <w:rFonts w:ascii="宋体" w:hAnsi="宋体"/>
          <w:kern w:val="0"/>
          <w:szCs w:val="20"/>
        </w:rPr>
        <w:fldChar w:fldCharType="separate"/>
      </w:r>
      <w:r>
        <w:rPr>
          <w:rFonts w:hint="eastAsia" w:ascii="黑体" w:hAnsi="黑体"/>
          <w:snapToGrid w:val="0"/>
          <w:szCs w:val="28"/>
        </w:rPr>
        <w:t>三 授权委托书</w:t>
      </w:r>
      <w:r>
        <w:tab/>
      </w:r>
      <w:r>
        <w:fldChar w:fldCharType="begin"/>
      </w:r>
      <w:r>
        <w:instrText xml:space="preserve"> PAGEREF _Toc20957 </w:instrText>
      </w:r>
      <w:r>
        <w:fldChar w:fldCharType="separate"/>
      </w:r>
      <w:r>
        <w:t>24</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_Toc6307 </w:instrText>
      </w:r>
      <w:r>
        <w:rPr>
          <w:rFonts w:ascii="宋体" w:hAnsi="宋体"/>
          <w:kern w:val="0"/>
          <w:szCs w:val="20"/>
        </w:rPr>
        <w:fldChar w:fldCharType="separate"/>
      </w:r>
      <w:r>
        <w:rPr>
          <w:rFonts w:hint="eastAsia" w:ascii="黑体" w:hAnsi="黑体"/>
          <w:snapToGrid w:val="0"/>
          <w:szCs w:val="28"/>
        </w:rPr>
        <w:t>四 企业资质相关资料</w:t>
      </w:r>
      <w:r>
        <w:tab/>
      </w:r>
      <w:r>
        <w:fldChar w:fldCharType="begin"/>
      </w:r>
      <w:r>
        <w:instrText xml:space="preserve"> PAGEREF _Toc6307 </w:instrText>
      </w:r>
      <w:r>
        <w:fldChar w:fldCharType="separate"/>
      </w:r>
      <w:r>
        <w:t>25</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_Toc9968 </w:instrText>
      </w:r>
      <w:r>
        <w:rPr>
          <w:rFonts w:ascii="宋体" w:hAnsi="宋体"/>
          <w:kern w:val="0"/>
          <w:szCs w:val="20"/>
        </w:rPr>
        <w:fldChar w:fldCharType="separate"/>
      </w:r>
      <w:r>
        <w:rPr>
          <w:rFonts w:hint="eastAsia" w:ascii="黑体" w:hAnsi="黑体"/>
          <w:snapToGrid w:val="0"/>
          <w:szCs w:val="28"/>
        </w:rPr>
        <w:t>五 技术响应方案</w:t>
      </w:r>
      <w:r>
        <w:tab/>
      </w:r>
      <w:r>
        <w:fldChar w:fldCharType="begin"/>
      </w:r>
      <w:r>
        <w:instrText xml:space="preserve"> PAGEREF _Toc9968 </w:instrText>
      </w:r>
      <w:r>
        <w:fldChar w:fldCharType="separate"/>
      </w:r>
      <w:r>
        <w:t>25</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_Toc19546 </w:instrText>
      </w:r>
      <w:r>
        <w:rPr>
          <w:rFonts w:ascii="宋体" w:hAnsi="宋体"/>
          <w:kern w:val="0"/>
          <w:szCs w:val="20"/>
        </w:rPr>
        <w:fldChar w:fldCharType="separate"/>
      </w:r>
      <w:r>
        <w:rPr>
          <w:rFonts w:hint="eastAsia" w:ascii="黑体" w:hAnsi="黑体"/>
          <w:snapToGrid w:val="0"/>
          <w:szCs w:val="28"/>
        </w:rPr>
        <w:t>六 商务响应方案</w:t>
      </w:r>
      <w:r>
        <w:tab/>
      </w:r>
      <w:r>
        <w:fldChar w:fldCharType="begin"/>
      </w:r>
      <w:r>
        <w:instrText xml:space="preserve"> PAGEREF _Toc19546 </w:instrText>
      </w:r>
      <w:r>
        <w:fldChar w:fldCharType="separate"/>
      </w:r>
      <w:r>
        <w:t>25</w:t>
      </w:r>
      <w:r>
        <w:fldChar w:fldCharType="end"/>
      </w:r>
      <w:r>
        <w:rPr>
          <w:rFonts w:ascii="宋体" w:hAnsi="宋体"/>
          <w:kern w:val="0"/>
          <w:szCs w:val="20"/>
        </w:rPr>
        <w:fldChar w:fldCharType="end"/>
      </w:r>
    </w:p>
    <w:p>
      <w:pPr>
        <w:pStyle w:val="34"/>
        <w:tabs>
          <w:tab w:val="right" w:leader="dot" w:pos="8620"/>
        </w:tabs>
      </w:pPr>
      <w:r>
        <w:rPr>
          <w:rFonts w:ascii="宋体" w:hAnsi="宋体"/>
          <w:kern w:val="0"/>
          <w:szCs w:val="20"/>
        </w:rPr>
        <w:fldChar w:fldCharType="begin"/>
      </w:r>
      <w:r>
        <w:rPr>
          <w:rFonts w:ascii="宋体" w:hAnsi="宋体"/>
          <w:kern w:val="0"/>
          <w:szCs w:val="20"/>
        </w:rPr>
        <w:instrText xml:space="preserve"> HYPERLINK \l _Toc17053 </w:instrText>
      </w:r>
      <w:r>
        <w:rPr>
          <w:rFonts w:ascii="宋体" w:hAnsi="宋体"/>
          <w:kern w:val="0"/>
          <w:szCs w:val="20"/>
        </w:rPr>
        <w:fldChar w:fldCharType="separate"/>
      </w:r>
      <w:r>
        <w:rPr>
          <w:rFonts w:hint="eastAsia" w:ascii="黑体" w:hAnsi="黑体"/>
          <w:snapToGrid w:val="0"/>
          <w:szCs w:val="28"/>
        </w:rPr>
        <w:t>七 售后服务措施</w:t>
      </w:r>
      <w:r>
        <w:tab/>
      </w:r>
      <w:r>
        <w:fldChar w:fldCharType="begin"/>
      </w:r>
      <w:r>
        <w:instrText xml:space="preserve"> PAGEREF _Toc17053 </w:instrText>
      </w:r>
      <w:r>
        <w:fldChar w:fldCharType="separate"/>
      </w:r>
      <w:r>
        <w:t>25</w:t>
      </w:r>
      <w:r>
        <w:fldChar w:fldCharType="end"/>
      </w:r>
      <w:r>
        <w:rPr>
          <w:rFonts w:ascii="宋体" w:hAnsi="宋体"/>
          <w:kern w:val="0"/>
          <w:szCs w:val="20"/>
        </w:rPr>
        <w:fldChar w:fldCharType="end"/>
      </w:r>
    </w:p>
    <w:p>
      <w:r>
        <w:rPr>
          <w:rFonts w:ascii="宋体" w:hAnsi="宋体"/>
          <w:kern w:val="0"/>
          <w:szCs w:val="20"/>
        </w:rPr>
        <w:fldChar w:fldCharType="end"/>
      </w:r>
    </w:p>
    <w:p>
      <w:pPr>
        <w:widowControl/>
        <w:jc w:val="left"/>
      </w:pPr>
      <w:r>
        <w:br w:type="page"/>
      </w:r>
    </w:p>
    <w:p/>
    <w:p>
      <w:pPr>
        <w:pStyle w:val="3"/>
        <w:spacing w:line="360" w:lineRule="auto"/>
        <w:jc w:val="center"/>
        <w:rPr>
          <w:snapToGrid w:val="0"/>
        </w:rPr>
      </w:pPr>
      <w:bookmarkStart w:id="0" w:name="_Toc27499"/>
      <w:r>
        <w:rPr>
          <w:rFonts w:hint="eastAsia"/>
          <w:snapToGrid w:val="0"/>
        </w:rPr>
        <w:t>第一章投标须知</w:t>
      </w:r>
      <w:bookmarkEnd w:id="0"/>
    </w:p>
    <w:p>
      <w:pPr>
        <w:pStyle w:val="3"/>
        <w:jc w:val="center"/>
        <w:rPr>
          <w:rFonts w:ascii="黑体" w:hAnsi="黑体"/>
          <w:b w:val="0"/>
          <w:snapToGrid w:val="0"/>
          <w:sz w:val="28"/>
          <w:szCs w:val="28"/>
        </w:rPr>
      </w:pPr>
      <w:bookmarkStart w:id="1" w:name="_Toc93283657"/>
      <w:bookmarkStart w:id="2" w:name="_Toc17390"/>
      <w:r>
        <w:rPr>
          <w:rFonts w:hint="eastAsia" w:ascii="黑体" w:hAnsi="黑体"/>
          <w:b w:val="0"/>
          <w:snapToGrid w:val="0"/>
          <w:sz w:val="28"/>
          <w:szCs w:val="28"/>
        </w:rPr>
        <w:t>前附表</w:t>
      </w:r>
      <w:bookmarkEnd w:id="1"/>
      <w:bookmarkEnd w:id="2"/>
    </w:p>
    <w:tbl>
      <w:tblPr>
        <w:tblStyle w:val="44"/>
        <w:tblW w:w="88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2064"/>
        <w:gridCol w:w="1764"/>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8"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项目名称</w:t>
            </w:r>
          </w:p>
        </w:tc>
        <w:tc>
          <w:tcPr>
            <w:tcW w:w="6944" w:type="dxa"/>
            <w:gridSpan w:val="3"/>
            <w:vAlign w:val="center"/>
          </w:tcPr>
          <w:p>
            <w:pPr>
              <w:adjustRightInd w:val="0"/>
              <w:snapToGrid w:val="0"/>
              <w:spacing w:line="360" w:lineRule="auto"/>
              <w:rPr>
                <w:rFonts w:asciiTheme="majorEastAsia" w:hAnsiTheme="majorEastAsia" w:eastAsiaTheme="majorEastAsia"/>
                <w:snapToGrid w:val="0"/>
                <w:sz w:val="24"/>
              </w:rPr>
            </w:pPr>
            <w:r>
              <w:rPr>
                <w:rFonts w:hint="eastAsia" w:ascii="宋体" w:hAnsi="宋体"/>
                <w:sz w:val="24"/>
              </w:rPr>
              <w:t>滁州丰乐4S店中央空调采购及安装工程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8"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招标人</w:t>
            </w:r>
          </w:p>
        </w:tc>
        <w:tc>
          <w:tcPr>
            <w:tcW w:w="6944" w:type="dxa"/>
            <w:gridSpan w:val="3"/>
            <w:vAlign w:val="center"/>
          </w:tcPr>
          <w:p>
            <w:pPr>
              <w:adjustRightInd w:val="0"/>
              <w:snapToGrid w:val="0"/>
              <w:spacing w:line="360" w:lineRule="auto"/>
              <w:rPr>
                <w:rFonts w:cs="宋体" w:asciiTheme="majorEastAsia" w:hAnsiTheme="majorEastAsia" w:eastAsiaTheme="majorEastAsia"/>
                <w:kern w:val="0"/>
                <w:sz w:val="24"/>
              </w:rPr>
            </w:pPr>
            <w:r>
              <w:rPr>
                <w:rFonts w:hint="eastAsia" w:ascii="宋体" w:hAnsi="宋体"/>
                <w:sz w:val="24"/>
              </w:rPr>
              <w:t>安徽天泓丰乐汽车服务有限公司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9"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建设地点</w:t>
            </w:r>
          </w:p>
        </w:tc>
        <w:tc>
          <w:tcPr>
            <w:tcW w:w="6944" w:type="dxa"/>
            <w:gridSpan w:val="3"/>
            <w:vAlign w:val="center"/>
          </w:tcPr>
          <w:p>
            <w:pPr>
              <w:adjustRightInd w:val="0"/>
              <w:snapToGrid w:val="0"/>
              <w:spacing w:line="360" w:lineRule="auto"/>
              <w:rPr>
                <w:rFonts w:asciiTheme="majorEastAsia" w:hAnsiTheme="majorEastAsia" w:eastAsiaTheme="majorEastAsia"/>
                <w:snapToGrid w:val="0"/>
                <w:sz w:val="24"/>
              </w:rPr>
            </w:pPr>
            <w:r>
              <w:rPr>
                <w:rFonts w:hint="eastAsia" w:ascii="宋体" w:hAnsi="宋体"/>
                <w:sz w:val="24"/>
              </w:rPr>
              <w:t>滁州市琅琊区丰乐大道2777号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联 系 人</w:t>
            </w:r>
          </w:p>
        </w:tc>
        <w:tc>
          <w:tcPr>
            <w:tcW w:w="2064" w:type="dxa"/>
            <w:vAlign w:val="center"/>
          </w:tcPr>
          <w:p>
            <w:pPr>
              <w:adjustRightInd w:val="0"/>
              <w:snapToGrid w:val="0"/>
              <w:spacing w:line="360" w:lineRule="auto"/>
              <w:rPr>
                <w:rFonts w:hint="eastAsia" w:asciiTheme="majorEastAsia" w:hAnsiTheme="majorEastAsia" w:eastAsiaTheme="majorEastAsia"/>
                <w:snapToGrid w:val="0"/>
                <w:sz w:val="24"/>
                <w:lang w:eastAsia="zh-CN"/>
              </w:rPr>
            </w:pPr>
            <w:r>
              <w:rPr>
                <w:rFonts w:hint="eastAsia" w:asciiTheme="majorEastAsia" w:hAnsiTheme="majorEastAsia" w:eastAsiaTheme="majorEastAsia"/>
                <w:snapToGrid w:val="0"/>
                <w:sz w:val="24"/>
                <w:lang w:eastAsia="zh-CN"/>
              </w:rPr>
              <w:t>张莹</w:t>
            </w:r>
          </w:p>
        </w:tc>
        <w:tc>
          <w:tcPr>
            <w:tcW w:w="1764" w:type="dxa"/>
            <w:vAlign w:val="center"/>
          </w:tcPr>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rPr>
              <w:t>电     话</w:t>
            </w:r>
          </w:p>
        </w:tc>
        <w:tc>
          <w:tcPr>
            <w:tcW w:w="3116" w:type="dxa"/>
            <w:vAlign w:val="center"/>
          </w:tcPr>
          <w:p>
            <w:pPr>
              <w:adjustRightInd w:val="0"/>
              <w:snapToGrid w:val="0"/>
              <w:spacing w:line="360" w:lineRule="auto"/>
              <w:rPr>
                <w:rFonts w:asciiTheme="majorEastAsia" w:hAnsiTheme="majorEastAsia" w:eastAsiaTheme="majorEastAsia"/>
                <w:b/>
                <w:snapToGrid w:val="0"/>
                <w:sz w:val="24"/>
              </w:rPr>
            </w:pPr>
            <w:r>
              <w:rPr>
                <w:rFonts w:hint="eastAsia" w:asciiTheme="majorEastAsia" w:hAnsiTheme="majorEastAsia" w:eastAsiaTheme="majorEastAsia"/>
                <w:b/>
                <w:snapToGrid w:val="0"/>
                <w:sz w:val="24"/>
              </w:rPr>
              <w:t>025-8</w:t>
            </w:r>
            <w:r>
              <w:rPr>
                <w:rFonts w:hint="eastAsia" w:asciiTheme="majorEastAsia" w:hAnsiTheme="majorEastAsia" w:eastAsiaTheme="majorEastAsia"/>
                <w:b/>
                <w:snapToGrid w:val="0"/>
                <w:sz w:val="24"/>
                <w:lang w:val="en-US" w:eastAsia="zh-CN"/>
              </w:rPr>
              <w:t>5459020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地址</w:t>
            </w:r>
          </w:p>
        </w:tc>
        <w:tc>
          <w:tcPr>
            <w:tcW w:w="6944" w:type="dxa"/>
            <w:gridSpan w:val="3"/>
            <w:vAlign w:val="center"/>
          </w:tcPr>
          <w:p>
            <w:pPr>
              <w:adjustRightInd w:val="0"/>
              <w:snapToGrid w:val="0"/>
              <w:spacing w:line="360" w:lineRule="auto"/>
              <w:rPr>
                <w:rFonts w:asciiTheme="majorEastAsia" w:hAnsiTheme="majorEastAsia" w:eastAsiaTheme="majorEastAsia"/>
                <w:snapToGrid w:val="0"/>
                <w:sz w:val="24"/>
              </w:rPr>
            </w:pPr>
            <w:r>
              <w:rPr>
                <w:rFonts w:hint="eastAsia" w:ascii="宋体" w:hAnsi="宋体" w:cs="宋体"/>
                <w:color w:val="333333"/>
                <w:kern w:val="0"/>
                <w:sz w:val="24"/>
                <w:szCs w:val="24"/>
              </w:rPr>
              <w:t>南京市玄武区花园路11号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招标方式</w:t>
            </w:r>
          </w:p>
        </w:tc>
        <w:tc>
          <w:tcPr>
            <w:tcW w:w="2064" w:type="dxa"/>
            <w:vAlign w:val="center"/>
          </w:tcPr>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lang w:eastAsia="zh-CN"/>
              </w:rPr>
              <w:t>邀请</w:t>
            </w:r>
            <w:r>
              <w:rPr>
                <w:rFonts w:hint="eastAsia" w:asciiTheme="majorEastAsia" w:hAnsiTheme="majorEastAsia" w:eastAsiaTheme="majorEastAsia"/>
                <w:snapToGrid w:val="0"/>
                <w:sz w:val="24"/>
              </w:rPr>
              <w:t>招标</w:t>
            </w:r>
          </w:p>
        </w:tc>
        <w:tc>
          <w:tcPr>
            <w:tcW w:w="1764" w:type="dxa"/>
            <w:vAlign w:val="center"/>
          </w:tcPr>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rPr>
              <w:t>招 标 范 围</w:t>
            </w:r>
          </w:p>
        </w:tc>
        <w:tc>
          <w:tcPr>
            <w:tcW w:w="3116" w:type="dxa"/>
            <w:vAlign w:val="center"/>
          </w:tcPr>
          <w:p>
            <w:pPr>
              <w:adjustRightInd w:val="0"/>
              <w:snapToGrid w:val="0"/>
              <w:spacing w:line="360" w:lineRule="auto"/>
              <w:rPr>
                <w:rFonts w:asciiTheme="majorEastAsia" w:hAnsiTheme="majorEastAsia" w:eastAsiaTheme="majorEastAsia"/>
                <w:snapToGrid w:val="0"/>
                <w:sz w:val="24"/>
              </w:rPr>
            </w:pPr>
            <w:r>
              <w:rPr>
                <w:rFonts w:hint="eastAsia" w:cs="宋体" w:asciiTheme="majorEastAsia" w:hAnsiTheme="majorEastAsia" w:eastAsiaTheme="majorEastAsia"/>
                <w:kern w:val="0"/>
                <w:sz w:val="24"/>
              </w:rPr>
              <w:t>暖通系统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承包方式</w:t>
            </w:r>
          </w:p>
        </w:tc>
        <w:tc>
          <w:tcPr>
            <w:tcW w:w="2064" w:type="dxa"/>
            <w:vAlign w:val="center"/>
          </w:tcPr>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rPr>
              <w:t>包工包料</w:t>
            </w:r>
          </w:p>
        </w:tc>
        <w:tc>
          <w:tcPr>
            <w:tcW w:w="1764" w:type="dxa"/>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rPr>
              <w:t>工期要求</w:t>
            </w:r>
          </w:p>
        </w:tc>
        <w:tc>
          <w:tcPr>
            <w:tcW w:w="3116" w:type="dxa"/>
            <w:vAlign w:val="center"/>
          </w:tcPr>
          <w:p>
            <w:pPr>
              <w:adjustRightInd w:val="0"/>
              <w:snapToGrid w:val="0"/>
              <w:spacing w:line="360" w:lineRule="auto"/>
              <w:ind w:firstLine="120" w:firstLineChars="50"/>
              <w:rPr>
                <w:rFonts w:asciiTheme="majorEastAsia" w:hAnsiTheme="majorEastAsia" w:eastAsiaTheme="majorEastAsia"/>
                <w:snapToGrid w:val="0"/>
                <w:sz w:val="24"/>
              </w:rPr>
            </w:pPr>
            <w:r>
              <w:rPr>
                <w:rFonts w:hint="eastAsia" w:asciiTheme="majorEastAsia" w:hAnsiTheme="majorEastAsia" w:eastAsiaTheme="majorEastAsia"/>
                <w:snapToGrid w:val="0"/>
                <w:sz w:val="24"/>
                <w:u w:val="single"/>
                <w:lang w:val="en-US" w:eastAsia="zh-CN"/>
              </w:rPr>
              <w:t>15</w:t>
            </w:r>
            <w:r>
              <w:rPr>
                <w:rFonts w:hint="eastAsia" w:asciiTheme="majorEastAsia" w:hAnsiTheme="majorEastAsia" w:eastAsiaTheme="majorEastAsia"/>
                <w:snapToGrid w:val="0"/>
                <w:sz w:val="24"/>
              </w:rPr>
              <w:t>天</w:t>
            </w:r>
            <w:r>
              <w:rPr>
                <w:rFonts w:hint="eastAsia" w:asciiTheme="majorEastAsia" w:hAnsiTheme="majorEastAsia" w:eastAsiaTheme="majorEastAsia"/>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质量要求</w:t>
            </w:r>
          </w:p>
        </w:tc>
        <w:tc>
          <w:tcPr>
            <w:tcW w:w="2064" w:type="dxa"/>
            <w:vAlign w:val="center"/>
          </w:tcPr>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rPr>
              <w:t>合格</w:t>
            </w:r>
          </w:p>
        </w:tc>
        <w:tc>
          <w:tcPr>
            <w:tcW w:w="1764" w:type="dxa"/>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rPr>
              <w:t>投标保证金</w:t>
            </w:r>
          </w:p>
        </w:tc>
        <w:tc>
          <w:tcPr>
            <w:tcW w:w="3116" w:type="dxa"/>
            <w:vAlign w:val="center"/>
          </w:tcPr>
          <w:p>
            <w:pPr>
              <w:adjustRightInd w:val="0"/>
              <w:snapToGrid w:val="0"/>
              <w:spacing w:line="360" w:lineRule="auto"/>
              <w:rPr>
                <w:rFonts w:asciiTheme="majorEastAsia" w:hAnsiTheme="majorEastAsia" w:eastAsiaTheme="majorEastAsia"/>
                <w:snapToGrid w:val="0"/>
                <w:sz w:val="24"/>
              </w:rPr>
            </w:pPr>
            <w:r>
              <w:rPr>
                <w:rFonts w:hint="eastAsia" w:asciiTheme="minorEastAsia" w:hAnsiTheme="minorEastAsia" w:eastAsiaTheme="minorEastAsia"/>
                <w:snapToGrid w:val="0"/>
                <w:sz w:val="24"/>
                <w:highlight w:val="none"/>
                <w:u w:val="single"/>
                <w:lang w:val="en-US" w:eastAsia="zh-CN"/>
              </w:rPr>
              <w:t>1</w:t>
            </w:r>
            <w:r>
              <w:rPr>
                <w:rFonts w:hint="eastAsia" w:asciiTheme="minorEastAsia" w:hAnsiTheme="minorEastAsia" w:eastAsiaTheme="minorEastAsia"/>
                <w:snapToGrid w:val="0"/>
                <w:sz w:val="24"/>
                <w:u w:val="single"/>
              </w:rPr>
              <w:t xml:space="preserve"> 万</w:t>
            </w:r>
            <w:r>
              <w:rPr>
                <w:rFonts w:hint="eastAsia" w:asciiTheme="minorEastAsia" w:hAnsiTheme="minorEastAsia" w:eastAsiaTheme="minorEastAsia"/>
                <w:snapToGrid w:val="0"/>
                <w:sz w:val="24"/>
              </w:rPr>
              <w:t>元整（人民币）以现金密封于投标文件中，在开标后一周内无息退还</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资质要求</w:t>
            </w:r>
          </w:p>
        </w:tc>
        <w:tc>
          <w:tcPr>
            <w:tcW w:w="6944" w:type="dxa"/>
            <w:gridSpan w:val="3"/>
            <w:vAlign w:val="center"/>
          </w:tcPr>
          <w:p>
            <w:pPr>
              <w:ind w:firstLine="480" w:firstLineChars="200"/>
              <w:rPr>
                <w:rFonts w:asciiTheme="majorEastAsia" w:hAnsiTheme="majorEastAsia" w:eastAsiaTheme="majorEastAsia"/>
                <w:color w:val="000000" w:themeColor="text1"/>
                <w:sz w:val="24"/>
                <w:highlight w:val="green"/>
              </w:rPr>
            </w:pPr>
            <w:bookmarkStart w:id="3" w:name="EB92208e7c1e2f4a22bbfdde3798f722d9"/>
            <w:r>
              <w:rPr>
                <w:rFonts w:hint="eastAsia" w:asciiTheme="majorEastAsia" w:hAnsiTheme="majorEastAsia" w:eastAsiaTheme="majorEastAsia"/>
                <w:color w:val="000000" w:themeColor="text1"/>
                <w:sz w:val="24"/>
                <w:highlight w:val="white"/>
              </w:rPr>
              <w:t>A、投标申请人应具有独立法人资格及独立订立合同的能力，招标内容在其营业执照的经营范围内，可以是制造商或者代理商。</w:t>
            </w:r>
          </w:p>
          <w:p>
            <w:pPr>
              <w:ind w:firstLine="480" w:firstLineChars="200"/>
              <w:rPr>
                <w:rFonts w:asciiTheme="majorEastAsia" w:hAnsiTheme="majorEastAsia" w:eastAsiaTheme="majorEastAsia"/>
                <w:snapToGrid w:val="0"/>
                <w:sz w:val="24"/>
              </w:rPr>
            </w:pPr>
            <w:r>
              <w:rPr>
                <w:rFonts w:hint="eastAsia" w:asciiTheme="majorEastAsia" w:hAnsiTheme="majorEastAsia" w:eastAsiaTheme="majorEastAsia"/>
                <w:color w:val="000000" w:themeColor="text1"/>
                <w:sz w:val="24"/>
                <w:highlight w:val="white"/>
                <w:lang w:val="en-US" w:eastAsia="zh-CN"/>
              </w:rPr>
              <w:t>B</w:t>
            </w:r>
            <w:r>
              <w:rPr>
                <w:rFonts w:hint="eastAsia" w:asciiTheme="majorEastAsia" w:hAnsiTheme="majorEastAsia" w:eastAsiaTheme="majorEastAsia"/>
                <w:color w:val="000000" w:themeColor="text1"/>
                <w:sz w:val="24"/>
                <w:highlight w:val="white"/>
              </w:rPr>
              <w:t>、投标人应具备建筑机电安装工程专业承包三级（含）以上资质且具有有效的安全生产许可证。</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zCs w:val="21"/>
                <w:highlight w:val="white"/>
              </w:rPr>
              <w:t>是否接受联合体投标</w:t>
            </w:r>
          </w:p>
        </w:tc>
        <w:tc>
          <w:tcPr>
            <w:tcW w:w="6944" w:type="dxa"/>
            <w:gridSpan w:val="3"/>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现场踏勘</w:t>
            </w:r>
          </w:p>
        </w:tc>
        <w:tc>
          <w:tcPr>
            <w:tcW w:w="6944" w:type="dxa"/>
            <w:gridSpan w:val="3"/>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rPr>
              <w:t>投标人自行安排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投标有效期</w:t>
            </w:r>
          </w:p>
        </w:tc>
        <w:tc>
          <w:tcPr>
            <w:tcW w:w="6944" w:type="dxa"/>
            <w:gridSpan w:val="3"/>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rPr>
              <w:t>投标截止日后</w:t>
            </w:r>
            <w:r>
              <w:rPr>
                <w:rFonts w:hint="eastAsia" w:asciiTheme="majorEastAsia" w:hAnsiTheme="majorEastAsia" w:eastAsiaTheme="majorEastAsia"/>
                <w:snapToGrid w:val="0"/>
                <w:sz w:val="24"/>
                <w:u w:val="single"/>
              </w:rPr>
              <w:t xml:space="preserve"> 6 </w:t>
            </w:r>
            <w:r>
              <w:rPr>
                <w:rFonts w:hint="eastAsia" w:asciiTheme="majorEastAsia" w:hAnsiTheme="majorEastAsia" w:eastAsiaTheme="majorEastAsia"/>
                <w:snapToGrid w:val="0"/>
                <w:sz w:val="24"/>
              </w:rPr>
              <w:t>日内有效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投标文件份数</w:t>
            </w:r>
          </w:p>
        </w:tc>
        <w:tc>
          <w:tcPr>
            <w:tcW w:w="6944" w:type="dxa"/>
            <w:gridSpan w:val="3"/>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rPr>
              <w:t>壹套正本，壹套副本。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ascii="宋体" w:hAnsi="宋体"/>
                <w:szCs w:val="21"/>
                <w:highlight w:val="white"/>
              </w:rPr>
              <w:t>履约担保</w:t>
            </w:r>
          </w:p>
        </w:tc>
        <w:tc>
          <w:tcPr>
            <w:tcW w:w="6944" w:type="dxa"/>
            <w:gridSpan w:val="3"/>
            <w:vAlign w:val="center"/>
          </w:tcPr>
          <w:p>
            <w:pPr>
              <w:spacing w:line="440" w:lineRule="exact"/>
              <w:rPr>
                <w:rFonts w:asciiTheme="majorEastAsia" w:hAnsiTheme="majorEastAsia" w:eastAsiaTheme="majorEastAsia"/>
                <w:sz w:val="24"/>
              </w:rPr>
            </w:pPr>
            <w:r>
              <w:rPr>
                <w:rFonts w:asciiTheme="majorEastAsia" w:hAnsiTheme="majorEastAsia" w:eastAsiaTheme="majorEastAsia"/>
                <w:sz w:val="24"/>
              </w:rPr>
              <w:t>履约担保</w:t>
            </w:r>
            <w:r>
              <w:rPr>
                <w:rFonts w:hint="eastAsia" w:asciiTheme="majorEastAsia" w:hAnsiTheme="majorEastAsia" w:eastAsiaTheme="majorEastAsia"/>
                <w:sz w:val="24"/>
              </w:rPr>
              <w:t>及支付担保</w:t>
            </w:r>
            <w:r>
              <w:rPr>
                <w:rFonts w:asciiTheme="majorEastAsia" w:hAnsiTheme="majorEastAsia" w:eastAsiaTheme="majorEastAsia"/>
                <w:sz w:val="24"/>
              </w:rPr>
              <w:t>的形式：</w:t>
            </w:r>
            <w:r>
              <w:rPr>
                <w:rFonts w:hint="eastAsia" w:asciiTheme="majorEastAsia" w:hAnsiTheme="majorEastAsia" w:eastAsiaTheme="majorEastAsia"/>
                <w:color w:val="0000FF"/>
                <w:sz w:val="24"/>
                <w:u w:val="single"/>
              </w:rPr>
              <w:t xml:space="preserve"> 银行本票、转帐支票、银行汇票、电汇、银行保函的形式 。</w:t>
            </w:r>
          </w:p>
          <w:p>
            <w:pPr>
              <w:spacing w:line="440" w:lineRule="exact"/>
              <w:rPr>
                <w:rFonts w:asciiTheme="majorEastAsia" w:hAnsiTheme="majorEastAsia" w:eastAsiaTheme="majorEastAsia"/>
                <w:sz w:val="24"/>
                <w:u w:val="single"/>
              </w:rPr>
            </w:pPr>
            <w:r>
              <w:rPr>
                <w:rFonts w:asciiTheme="majorEastAsia" w:hAnsiTheme="majorEastAsia" w:eastAsiaTheme="majorEastAsia"/>
                <w:sz w:val="24"/>
              </w:rPr>
              <w:t>履约担保</w:t>
            </w:r>
            <w:r>
              <w:rPr>
                <w:rFonts w:hint="eastAsia" w:asciiTheme="majorEastAsia" w:hAnsiTheme="majorEastAsia" w:eastAsiaTheme="majorEastAsia"/>
                <w:sz w:val="24"/>
              </w:rPr>
              <w:t>及支付担保</w:t>
            </w:r>
            <w:r>
              <w:rPr>
                <w:rFonts w:asciiTheme="majorEastAsia" w:hAnsiTheme="majorEastAsia" w:eastAsiaTheme="majorEastAsia"/>
                <w:sz w:val="24"/>
              </w:rPr>
              <w:t>的金额：</w:t>
            </w:r>
            <w:r>
              <w:rPr>
                <w:rFonts w:hint="eastAsia" w:asciiTheme="majorEastAsia" w:hAnsiTheme="majorEastAsia" w:eastAsiaTheme="majorEastAsia"/>
                <w:color w:val="0000FF"/>
                <w:sz w:val="24"/>
                <w:u w:val="single"/>
              </w:rPr>
              <w:t>本项目实行履约担保制度。担保金额为承发包合同总价的</w:t>
            </w:r>
            <w:r>
              <w:rPr>
                <w:rFonts w:hint="eastAsia" w:asciiTheme="majorEastAsia" w:hAnsiTheme="majorEastAsia" w:eastAsiaTheme="majorEastAsia"/>
                <w:color w:val="0000FF"/>
                <w:sz w:val="24"/>
                <w:u w:val="single"/>
                <w:lang w:val="en-US" w:eastAsia="zh-CN"/>
              </w:rPr>
              <w:t>5</w:t>
            </w:r>
            <w:r>
              <w:rPr>
                <w:rFonts w:hint="eastAsia" w:asciiTheme="majorEastAsia" w:hAnsiTheme="majorEastAsia" w:eastAsiaTheme="majorEastAsia"/>
                <w:color w:val="0000FF"/>
                <w:sz w:val="24"/>
                <w:u w:val="single"/>
              </w:rPr>
              <w:t>%；中标人在甲方通知进场前10天</w:t>
            </w:r>
            <w:r>
              <w:rPr>
                <w:rFonts w:hint="eastAsia" w:asciiTheme="majorEastAsia" w:hAnsiTheme="majorEastAsia" w:eastAsiaTheme="majorEastAsia"/>
                <w:color w:val="0000FF"/>
                <w:sz w:val="24"/>
                <w:u w:val="single"/>
                <w:lang w:eastAsia="zh-CN"/>
              </w:rPr>
              <w:t>内</w:t>
            </w:r>
            <w:r>
              <w:rPr>
                <w:rFonts w:hint="eastAsia" w:asciiTheme="majorEastAsia" w:hAnsiTheme="majorEastAsia" w:eastAsiaTheme="majorEastAsia"/>
                <w:color w:val="0000FF"/>
                <w:sz w:val="24"/>
                <w:u w:val="single"/>
              </w:rPr>
              <w:t>，必须向招标人提交</w:t>
            </w:r>
            <w:r>
              <w:rPr>
                <w:rFonts w:hint="eastAsia" w:asciiTheme="majorEastAsia" w:hAnsiTheme="majorEastAsia" w:eastAsiaTheme="majorEastAsia"/>
                <w:color w:val="0000FF"/>
                <w:sz w:val="24"/>
                <w:u w:val="single"/>
                <w:lang w:val="en-US" w:eastAsia="zh-CN"/>
              </w:rPr>
              <w:t>5</w:t>
            </w:r>
            <w:r>
              <w:rPr>
                <w:rFonts w:hint="eastAsia" w:asciiTheme="majorEastAsia" w:hAnsiTheme="majorEastAsia" w:eastAsiaTheme="majorEastAsia"/>
                <w:color w:val="0000FF"/>
                <w:sz w:val="24"/>
                <w:u w:val="single"/>
              </w:rPr>
              <w:t>%的银行汇票、转账支票（到户）、电汇作为履约保证金。未按招标文件规定提交履约担保，招标人将没收其投标保证金并取消其中标资格。工程完工经验收合格后无息退还履约保证金。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3"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投标文件递交</w:t>
            </w:r>
          </w:p>
        </w:tc>
        <w:tc>
          <w:tcPr>
            <w:tcW w:w="6944" w:type="dxa"/>
            <w:gridSpan w:val="3"/>
            <w:vAlign w:val="center"/>
          </w:tcPr>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rPr>
              <w:t>地点：</w:t>
            </w:r>
            <w:r>
              <w:rPr>
                <w:rFonts w:hint="eastAsia" w:ascii="宋体" w:hAnsi="宋体" w:cs="宋体"/>
                <w:color w:val="333333"/>
                <w:kern w:val="0"/>
                <w:sz w:val="24"/>
                <w:szCs w:val="24"/>
              </w:rPr>
              <w:t>南京市玄武区花园路11号</w:t>
            </w:r>
          </w:p>
          <w:p>
            <w:pPr>
              <w:spacing w:line="360" w:lineRule="auto"/>
              <w:rPr>
                <w:rFonts w:asciiTheme="majorEastAsia" w:hAnsiTheme="majorEastAsia" w:eastAsiaTheme="majorEastAsia"/>
                <w:sz w:val="24"/>
              </w:rPr>
            </w:pPr>
            <w:r>
              <w:rPr>
                <w:rFonts w:hint="eastAsia" w:asciiTheme="majorEastAsia" w:hAnsiTheme="majorEastAsia" w:eastAsiaTheme="majorEastAsia"/>
                <w:snapToGrid w:val="0"/>
                <w:sz w:val="24"/>
              </w:rPr>
              <w:t>投标截止时间：</w:t>
            </w:r>
            <w:r>
              <w:rPr>
                <w:rFonts w:hint="eastAsia" w:asciiTheme="majorEastAsia" w:hAnsiTheme="majorEastAsia" w:eastAsiaTheme="majorEastAsia"/>
                <w:snapToGrid w:val="0"/>
                <w:sz w:val="24"/>
                <w:u w:val="single"/>
              </w:rPr>
              <w:t xml:space="preserve"> 2018</w:t>
            </w:r>
            <w:r>
              <w:rPr>
                <w:rFonts w:hint="eastAsia" w:asciiTheme="majorEastAsia" w:hAnsiTheme="majorEastAsia" w:eastAsiaTheme="majorEastAsia"/>
                <w:snapToGrid w:val="0"/>
                <w:sz w:val="24"/>
              </w:rPr>
              <w:t>年</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u w:val="single"/>
                <w:lang w:val="en-US" w:eastAsia="zh-CN"/>
              </w:rPr>
              <w:t>4</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rPr>
              <w:t>月</w:t>
            </w:r>
            <w:r>
              <w:rPr>
                <w:rFonts w:hint="eastAsia" w:asciiTheme="majorEastAsia" w:hAnsiTheme="majorEastAsia" w:eastAsiaTheme="majorEastAsia"/>
                <w:snapToGrid w:val="0"/>
                <w:sz w:val="24"/>
                <w:u w:val="single"/>
              </w:rPr>
              <w:t xml:space="preserve"> 2</w:t>
            </w:r>
            <w:r>
              <w:rPr>
                <w:rFonts w:hint="eastAsia" w:asciiTheme="majorEastAsia" w:hAnsiTheme="majorEastAsia" w:eastAsiaTheme="majorEastAsia"/>
                <w:snapToGrid w:val="0"/>
                <w:sz w:val="24"/>
                <w:u w:val="single"/>
                <w:lang w:val="en-US" w:eastAsia="zh-CN"/>
              </w:rPr>
              <w:t>4</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rPr>
              <w:t>日</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u w:val="single"/>
                <w:lang w:val="en-US" w:eastAsia="zh-CN"/>
              </w:rPr>
              <w:t>14</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rPr>
              <w:t>时</w:t>
            </w:r>
            <w:r>
              <w:rPr>
                <w:rFonts w:hint="eastAsia" w:asciiTheme="majorEastAsia" w:hAnsiTheme="majorEastAsia" w:eastAsiaTheme="majorEastAsia"/>
                <w:sz w:val="24"/>
                <w:u w:val="single"/>
              </w:rPr>
              <w:t xml:space="preserve">  30  </w:t>
            </w:r>
            <w:r>
              <w:rPr>
                <w:rFonts w:hint="eastAsia" w:asciiTheme="majorEastAsia" w:hAnsiTheme="majorEastAsia" w:eastAsiaTheme="major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开        标</w:t>
            </w:r>
          </w:p>
        </w:tc>
        <w:tc>
          <w:tcPr>
            <w:tcW w:w="6944" w:type="dxa"/>
            <w:gridSpan w:val="3"/>
            <w:vAlign w:val="center"/>
          </w:tcPr>
          <w:p>
            <w:pPr>
              <w:adjustRightInd w:val="0"/>
              <w:snapToGrid w:val="0"/>
              <w:spacing w:line="360" w:lineRule="auto"/>
              <w:rPr>
                <w:rFonts w:asciiTheme="majorEastAsia" w:hAnsiTheme="majorEastAsia" w:eastAsiaTheme="majorEastAsia"/>
                <w:sz w:val="24"/>
              </w:rPr>
            </w:pPr>
            <w:r>
              <w:rPr>
                <w:rFonts w:hint="eastAsia" w:asciiTheme="majorEastAsia" w:hAnsiTheme="majorEastAsia" w:eastAsiaTheme="majorEastAsia"/>
                <w:snapToGrid w:val="0"/>
                <w:sz w:val="24"/>
              </w:rPr>
              <w:t>时间：</w:t>
            </w:r>
            <w:r>
              <w:rPr>
                <w:rFonts w:hint="eastAsia" w:asciiTheme="majorEastAsia" w:hAnsiTheme="majorEastAsia" w:eastAsiaTheme="majorEastAsia"/>
                <w:snapToGrid w:val="0"/>
                <w:sz w:val="24"/>
                <w:u w:val="single"/>
              </w:rPr>
              <w:t>2018</w:t>
            </w:r>
            <w:r>
              <w:rPr>
                <w:rFonts w:hint="eastAsia" w:asciiTheme="majorEastAsia" w:hAnsiTheme="majorEastAsia" w:eastAsiaTheme="majorEastAsia"/>
                <w:snapToGrid w:val="0"/>
                <w:sz w:val="24"/>
              </w:rPr>
              <w:t>年</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u w:val="single"/>
                <w:lang w:val="en-US" w:eastAsia="zh-CN"/>
              </w:rPr>
              <w:t>4</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rPr>
              <w:t>月</w:t>
            </w:r>
            <w:r>
              <w:rPr>
                <w:rFonts w:hint="eastAsia" w:asciiTheme="majorEastAsia" w:hAnsiTheme="majorEastAsia" w:eastAsiaTheme="majorEastAsia"/>
                <w:snapToGrid w:val="0"/>
                <w:sz w:val="24"/>
                <w:u w:val="single"/>
              </w:rPr>
              <w:t xml:space="preserve"> 2</w:t>
            </w:r>
            <w:r>
              <w:rPr>
                <w:rFonts w:hint="eastAsia" w:asciiTheme="majorEastAsia" w:hAnsiTheme="majorEastAsia" w:eastAsiaTheme="majorEastAsia"/>
                <w:snapToGrid w:val="0"/>
                <w:sz w:val="24"/>
                <w:u w:val="single"/>
                <w:lang w:val="en-US" w:eastAsia="zh-CN"/>
              </w:rPr>
              <w:t>4</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rPr>
              <w:t>日</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u w:val="single"/>
                <w:lang w:val="en-US" w:eastAsia="zh-CN"/>
              </w:rPr>
              <w:t>14</w:t>
            </w:r>
            <w:r>
              <w:rPr>
                <w:rFonts w:hint="eastAsia" w:asciiTheme="majorEastAsia" w:hAnsiTheme="majorEastAsia" w:eastAsiaTheme="majorEastAsia"/>
                <w:snapToGrid w:val="0"/>
                <w:sz w:val="24"/>
                <w:u w:val="single"/>
              </w:rPr>
              <w:t xml:space="preserve">  </w:t>
            </w:r>
            <w:r>
              <w:rPr>
                <w:rFonts w:hint="eastAsia" w:asciiTheme="majorEastAsia" w:hAnsiTheme="majorEastAsia" w:eastAsiaTheme="majorEastAsia"/>
                <w:snapToGrid w:val="0"/>
                <w:sz w:val="24"/>
              </w:rPr>
              <w:t>时</w:t>
            </w:r>
            <w:r>
              <w:rPr>
                <w:rFonts w:hint="eastAsia" w:asciiTheme="majorEastAsia" w:hAnsiTheme="majorEastAsia" w:eastAsiaTheme="majorEastAsia"/>
                <w:sz w:val="24"/>
                <w:u w:val="single"/>
              </w:rPr>
              <w:t xml:space="preserve">  30  </w:t>
            </w:r>
            <w:r>
              <w:rPr>
                <w:rFonts w:hint="eastAsia" w:asciiTheme="majorEastAsia" w:hAnsiTheme="majorEastAsia" w:eastAsiaTheme="majorEastAsia"/>
                <w:sz w:val="24"/>
              </w:rPr>
              <w:t>分</w:t>
            </w:r>
          </w:p>
          <w:p>
            <w:pPr>
              <w:adjustRightInd w:val="0"/>
              <w:snapToGrid w:val="0"/>
              <w:spacing w:line="360" w:lineRule="auto"/>
              <w:rPr>
                <w:rFonts w:asciiTheme="majorEastAsia" w:hAnsiTheme="majorEastAsia" w:eastAsiaTheme="majorEastAsia"/>
                <w:snapToGrid w:val="0"/>
                <w:sz w:val="24"/>
              </w:rPr>
            </w:pPr>
            <w:r>
              <w:rPr>
                <w:rFonts w:hint="eastAsia" w:asciiTheme="majorEastAsia" w:hAnsiTheme="majorEastAsia" w:eastAsiaTheme="majorEastAsia"/>
                <w:snapToGrid w:val="0"/>
                <w:sz w:val="24"/>
              </w:rPr>
              <w:t>地点：</w:t>
            </w:r>
            <w:r>
              <w:rPr>
                <w:rFonts w:hint="eastAsia" w:ascii="宋体" w:hAnsi="宋体" w:cs="宋体"/>
                <w:color w:val="333333"/>
                <w:kern w:val="0"/>
                <w:sz w:val="24"/>
                <w:szCs w:val="24"/>
              </w:rPr>
              <w:t>南京市玄武区花园路11号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评标办法</w:t>
            </w:r>
          </w:p>
        </w:tc>
        <w:tc>
          <w:tcPr>
            <w:tcW w:w="6944" w:type="dxa"/>
            <w:gridSpan w:val="3"/>
            <w:vAlign w:val="center"/>
          </w:tcPr>
          <w:p>
            <w:pPr>
              <w:adjustRightInd w:val="0"/>
              <w:snapToGrid w:val="0"/>
              <w:spacing w:line="360" w:lineRule="auto"/>
              <w:jc w:val="center"/>
              <w:rPr>
                <w:rFonts w:asciiTheme="majorEastAsia" w:hAnsiTheme="majorEastAsia" w:eastAsiaTheme="majorEastAsia"/>
                <w:bCs/>
                <w:sz w:val="24"/>
              </w:rPr>
            </w:pPr>
            <w:r>
              <w:rPr>
                <w:rFonts w:hint="eastAsia" w:asciiTheme="majorEastAsia" w:hAnsiTheme="majorEastAsia" w:eastAsiaTheme="majorEastAsia"/>
                <w:snapToGrid w:val="0"/>
                <w:sz w:val="24"/>
              </w:rPr>
              <w:t>综合评估法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最高限价</w:t>
            </w:r>
          </w:p>
        </w:tc>
        <w:tc>
          <w:tcPr>
            <w:tcW w:w="6944" w:type="dxa"/>
            <w:gridSpan w:val="3"/>
            <w:vAlign w:val="center"/>
          </w:tcPr>
          <w:p>
            <w:pPr>
              <w:adjustRightInd w:val="0"/>
              <w:snapToGrid w:val="0"/>
              <w:spacing w:line="360" w:lineRule="auto"/>
              <w:jc w:val="center"/>
              <w:rPr>
                <w:rFonts w:asciiTheme="majorEastAsia" w:hAnsiTheme="majorEastAsia" w:eastAsiaTheme="majorEastAsia"/>
                <w:snapToGrid w:val="0"/>
                <w:sz w:val="24"/>
              </w:rPr>
            </w:pPr>
            <w:r>
              <w:rPr>
                <w:rFonts w:hint="eastAsia" w:asciiTheme="majorEastAsia" w:hAnsiTheme="majorEastAsia" w:eastAsiaTheme="majorEastAsia"/>
                <w:snapToGrid w:val="0"/>
                <w:sz w:val="24"/>
                <w:lang w:val="en-US" w:eastAsia="zh-CN"/>
              </w:rPr>
              <w:t>210000</w:t>
            </w:r>
            <w:r>
              <w:rPr>
                <w:rFonts w:hint="eastAsia" w:asciiTheme="majorEastAsia" w:hAnsiTheme="majorEastAsia" w:eastAsiaTheme="majorEastAsia"/>
                <w:snapToGrid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jc w:val="center"/>
        </w:trPr>
        <w:tc>
          <w:tcPr>
            <w:tcW w:w="1892" w:type="dxa"/>
            <w:vAlign w:val="center"/>
          </w:tcPr>
          <w:p>
            <w:pPr>
              <w:adjustRightInd w:val="0"/>
              <w:snapToGrid w:val="0"/>
              <w:spacing w:line="360" w:lineRule="auto"/>
              <w:jc w:val="center"/>
              <w:rPr>
                <w:rFonts w:ascii="宋体" w:hAnsi="宋体"/>
                <w:snapToGrid w:val="0"/>
                <w:sz w:val="24"/>
              </w:rPr>
            </w:pPr>
            <w:r>
              <w:rPr>
                <w:rFonts w:hint="eastAsia" w:ascii="宋体" w:hAnsi="宋体"/>
                <w:snapToGrid w:val="0"/>
                <w:sz w:val="24"/>
              </w:rPr>
              <w:t>其他要求</w:t>
            </w:r>
          </w:p>
        </w:tc>
        <w:tc>
          <w:tcPr>
            <w:tcW w:w="6944" w:type="dxa"/>
            <w:gridSpan w:val="3"/>
            <w:vAlign w:val="center"/>
          </w:tcPr>
          <w:p>
            <w:pPr>
              <w:pStyle w:val="115"/>
              <w:numPr>
                <w:ilvl w:val="0"/>
                <w:numId w:val="1"/>
              </w:numPr>
              <w:ind w:firstLineChars="0"/>
              <w:jc w:val="both"/>
              <w:rPr>
                <w:rFonts w:asciiTheme="minorEastAsia" w:hAnsiTheme="minorEastAsia" w:eastAsiaTheme="minorEastAsia"/>
                <w:sz w:val="24"/>
              </w:rPr>
            </w:pPr>
            <w:r>
              <w:rPr>
                <w:rFonts w:hint="eastAsia" w:asciiTheme="minorEastAsia" w:hAnsiTheme="minorEastAsia" w:eastAsiaTheme="minorEastAsia"/>
                <w:sz w:val="24"/>
              </w:rPr>
              <w:t>本工程编预算、标底（含清单编制）费由招标人支付。</w:t>
            </w:r>
          </w:p>
          <w:p>
            <w:pPr>
              <w:pStyle w:val="115"/>
              <w:numPr>
                <w:ilvl w:val="0"/>
                <w:numId w:val="1"/>
              </w:numPr>
              <w:ind w:firstLineChars="0"/>
              <w:jc w:val="both"/>
              <w:rPr>
                <w:rFonts w:asciiTheme="minorEastAsia" w:hAnsiTheme="minorEastAsia" w:eastAsiaTheme="minorEastAsia"/>
                <w:sz w:val="24"/>
              </w:rPr>
            </w:pPr>
            <w:r>
              <w:rPr>
                <w:rFonts w:hint="eastAsia" w:asciiTheme="minorEastAsia" w:hAnsiTheme="minorEastAsia" w:eastAsiaTheme="minorEastAsia"/>
                <w:sz w:val="24"/>
              </w:rPr>
              <w:t>评委费3000元由中标人支付（该项费用为暂定，多退少补）</w:t>
            </w:r>
          </w:p>
          <w:p>
            <w:pPr>
              <w:pStyle w:val="116"/>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其他详见图纸及清单。</w:t>
            </w:r>
          </w:p>
        </w:tc>
      </w:tr>
    </w:tbl>
    <w:p>
      <w:pPr>
        <w:pStyle w:val="3"/>
        <w:jc w:val="center"/>
        <w:rPr>
          <w:rFonts w:ascii="黑体" w:hAnsi="黑体"/>
          <w:b w:val="0"/>
          <w:snapToGrid w:val="0"/>
          <w:sz w:val="28"/>
          <w:szCs w:val="28"/>
        </w:rPr>
      </w:pPr>
      <w:bookmarkStart w:id="4" w:name="_Toc22814"/>
      <w:r>
        <w:rPr>
          <w:rFonts w:hint="eastAsia" w:ascii="黑体" w:hAnsi="黑体"/>
          <w:b w:val="0"/>
          <w:snapToGrid w:val="0"/>
          <w:sz w:val="28"/>
          <w:szCs w:val="28"/>
        </w:rPr>
        <w:t>一、总    则</w:t>
      </w:r>
      <w:bookmarkEnd w:id="4"/>
    </w:p>
    <w:p>
      <w:pPr>
        <w:adjustRightInd w:val="0"/>
        <w:snapToGrid w:val="0"/>
        <w:spacing w:line="360" w:lineRule="auto"/>
        <w:rPr>
          <w:rFonts w:ascii="宋体" w:hAnsi="宋体"/>
          <w:snapToGrid w:val="0"/>
          <w:sz w:val="24"/>
        </w:rPr>
      </w:pPr>
      <w:r>
        <w:rPr>
          <w:rFonts w:hint="eastAsia" w:ascii="宋体" w:hAnsi="宋体"/>
          <w:snapToGrid w:val="0"/>
          <w:sz w:val="24"/>
        </w:rPr>
        <w:t>（一）工程概况</w:t>
      </w:r>
    </w:p>
    <w:p>
      <w:pPr>
        <w:adjustRightInd w:val="0"/>
        <w:snapToGrid w:val="0"/>
        <w:spacing w:line="360" w:lineRule="auto"/>
        <w:ind w:firstLine="799" w:firstLineChars="333"/>
        <w:rPr>
          <w:rFonts w:ascii="宋体" w:hAnsi="宋体"/>
          <w:snapToGrid w:val="0"/>
          <w:sz w:val="24"/>
        </w:rPr>
      </w:pPr>
      <w:r>
        <w:rPr>
          <w:rFonts w:hint="eastAsia" w:ascii="宋体" w:hAnsi="宋体"/>
          <w:snapToGrid w:val="0"/>
          <w:sz w:val="24"/>
        </w:rPr>
        <w:t>1、现场施工条件</w:t>
      </w:r>
    </w:p>
    <w:p>
      <w:pPr>
        <w:adjustRightInd w:val="0"/>
        <w:snapToGrid w:val="0"/>
        <w:spacing w:line="360" w:lineRule="auto"/>
        <w:ind w:firstLine="1440" w:firstLineChars="600"/>
        <w:rPr>
          <w:rFonts w:ascii="宋体" w:hAnsi="宋体"/>
          <w:snapToGrid w:val="0"/>
          <w:sz w:val="24"/>
        </w:rPr>
      </w:pPr>
      <w:r>
        <w:rPr>
          <w:rFonts w:hint="eastAsia" w:ascii="宋体" w:hAnsi="宋体"/>
          <w:snapToGrid w:val="0"/>
          <w:sz w:val="24"/>
        </w:rPr>
        <w:t xml:space="preserve">(1) 主体情况         </w:t>
      </w:r>
      <w:r>
        <w:rPr>
          <w:rFonts w:hint="eastAsia" w:ascii="宋体" w:hAnsi="宋体"/>
          <w:snapToGrid w:val="0"/>
          <w:sz w:val="24"/>
          <w:u w:val="single"/>
        </w:rPr>
        <w:t xml:space="preserve"> 已完成；</w:t>
      </w:r>
    </w:p>
    <w:p>
      <w:pPr>
        <w:adjustRightInd w:val="0"/>
        <w:snapToGrid w:val="0"/>
        <w:spacing w:line="360" w:lineRule="auto"/>
        <w:rPr>
          <w:rFonts w:ascii="宋体" w:hAnsi="宋体"/>
          <w:snapToGrid w:val="0"/>
          <w:sz w:val="24"/>
        </w:rPr>
      </w:pPr>
      <w:r>
        <w:rPr>
          <w:rFonts w:hint="eastAsia" w:ascii="宋体" w:hAnsi="宋体"/>
          <w:snapToGrid w:val="0"/>
          <w:sz w:val="24"/>
        </w:rPr>
        <w:t xml:space="preserve">            (2) 施工用水、电     </w:t>
      </w:r>
      <w:r>
        <w:rPr>
          <w:rFonts w:hint="eastAsia" w:ascii="宋体" w:hAnsi="宋体"/>
          <w:snapToGrid w:val="0"/>
          <w:sz w:val="24"/>
          <w:u w:val="single"/>
        </w:rPr>
        <w:t xml:space="preserve"> 已接至现场；</w:t>
      </w:r>
    </w:p>
    <w:p>
      <w:pPr>
        <w:adjustRightInd w:val="0"/>
        <w:snapToGrid w:val="0"/>
        <w:spacing w:line="360" w:lineRule="auto"/>
        <w:rPr>
          <w:rFonts w:ascii="宋体" w:hAnsi="宋体"/>
          <w:snapToGrid w:val="0"/>
          <w:sz w:val="24"/>
          <w:u w:val="single"/>
        </w:rPr>
      </w:pPr>
      <w:r>
        <w:rPr>
          <w:rFonts w:hint="eastAsia" w:ascii="宋体" w:hAnsi="宋体"/>
          <w:snapToGrid w:val="0"/>
          <w:sz w:val="24"/>
        </w:rPr>
        <w:t xml:space="preserve">            (3) 有关勘探资料     </w:t>
      </w:r>
      <w:r>
        <w:rPr>
          <w:rFonts w:hint="eastAsia" w:ascii="宋体" w:hAnsi="宋体"/>
          <w:snapToGrid w:val="0"/>
          <w:sz w:val="24"/>
          <w:u w:val="single"/>
        </w:rPr>
        <w:t xml:space="preserve"> 已完成 ；</w:t>
      </w:r>
    </w:p>
    <w:p>
      <w:pPr>
        <w:adjustRightInd w:val="0"/>
        <w:snapToGrid w:val="0"/>
        <w:spacing w:line="360" w:lineRule="auto"/>
        <w:ind w:firstLine="806" w:firstLineChars="336"/>
        <w:rPr>
          <w:rFonts w:ascii="宋体" w:hAnsi="宋体"/>
          <w:snapToGrid w:val="0"/>
          <w:sz w:val="24"/>
          <w:u w:val="single"/>
        </w:rPr>
      </w:pPr>
      <w:r>
        <w:rPr>
          <w:rFonts w:hint="eastAsia" w:ascii="宋体" w:hAnsi="宋体"/>
          <w:snapToGrid w:val="0"/>
          <w:sz w:val="24"/>
        </w:rPr>
        <w:t xml:space="preserve">2、工程资金来源     </w:t>
      </w:r>
      <w:r>
        <w:rPr>
          <w:rFonts w:hint="eastAsia" w:ascii="宋体" w:hAnsi="宋体"/>
          <w:snapToGrid w:val="0"/>
          <w:sz w:val="24"/>
          <w:u w:val="single"/>
        </w:rPr>
        <w:t xml:space="preserve"> 自筹</w:t>
      </w:r>
    </w:p>
    <w:p>
      <w:pPr>
        <w:adjustRightInd w:val="0"/>
        <w:snapToGrid w:val="0"/>
        <w:spacing w:line="360" w:lineRule="auto"/>
        <w:ind w:firstLine="806" w:firstLineChars="336"/>
        <w:rPr>
          <w:rFonts w:ascii="宋体" w:hAnsi="宋体"/>
          <w:snapToGrid w:val="0"/>
          <w:sz w:val="24"/>
        </w:rPr>
      </w:pPr>
      <w:r>
        <w:rPr>
          <w:rFonts w:hint="eastAsia" w:ascii="宋体" w:hAnsi="宋体"/>
          <w:snapToGrid w:val="0"/>
          <w:sz w:val="24"/>
        </w:rPr>
        <w:t>3、审查方法：</w:t>
      </w:r>
      <w:bookmarkStart w:id="5" w:name="EB256db79c13564070912e04ef236261cd"/>
      <w:r>
        <w:rPr>
          <w:rFonts w:hint="eastAsia" w:ascii="宋体" w:hAnsi="宋体"/>
          <w:snapToGrid w:val="0"/>
          <w:sz w:val="24"/>
        </w:rPr>
        <w:t>资格后审</w:t>
      </w:r>
      <w:bookmarkEnd w:id="5"/>
    </w:p>
    <w:p>
      <w:pPr>
        <w:adjustRightInd w:val="0"/>
        <w:snapToGrid w:val="0"/>
        <w:spacing w:line="360" w:lineRule="auto"/>
        <w:ind w:firstLine="806" w:firstLineChars="336"/>
        <w:rPr>
          <w:rFonts w:ascii="宋体" w:hAnsi="宋体"/>
          <w:snapToGrid w:val="0"/>
          <w:sz w:val="24"/>
        </w:rPr>
      </w:pPr>
      <w:r>
        <w:rPr>
          <w:rFonts w:hint="eastAsia" w:ascii="宋体" w:hAnsi="宋体"/>
          <w:snapToGrid w:val="0"/>
          <w:sz w:val="24"/>
        </w:rPr>
        <w:t>4、本工程采用 公开招标 方式确定中标人。</w:t>
      </w:r>
    </w:p>
    <w:p>
      <w:pPr>
        <w:adjustRightInd w:val="0"/>
        <w:snapToGrid w:val="0"/>
        <w:spacing w:line="360" w:lineRule="auto"/>
        <w:ind w:firstLine="806" w:firstLineChars="336"/>
        <w:rPr>
          <w:rFonts w:ascii="宋体" w:hAnsi="宋体"/>
          <w:snapToGrid w:val="0"/>
          <w:sz w:val="24"/>
        </w:rPr>
      </w:pPr>
      <w:r>
        <w:rPr>
          <w:rFonts w:hint="eastAsia" w:ascii="宋体" w:hAnsi="宋体"/>
          <w:snapToGrid w:val="0"/>
          <w:sz w:val="24"/>
        </w:rPr>
        <w:t>5、企业资质要求：</w:t>
      </w:r>
    </w:p>
    <w:p>
      <w:pPr>
        <w:adjustRightInd w:val="0"/>
        <w:snapToGrid w:val="0"/>
        <w:spacing w:line="360" w:lineRule="auto"/>
        <w:ind w:firstLine="806" w:firstLineChars="336"/>
        <w:rPr>
          <w:rFonts w:ascii="宋体" w:hAnsi="宋体"/>
          <w:snapToGrid w:val="0"/>
          <w:sz w:val="24"/>
        </w:rPr>
      </w:pPr>
      <w:r>
        <w:rPr>
          <w:rFonts w:hint="eastAsia" w:ascii="宋体" w:hAnsi="宋体"/>
          <w:snapToGrid w:val="0"/>
          <w:sz w:val="24"/>
        </w:rPr>
        <w:t>A、投标申请人应具有独立法人资格及独立订立合同的能力，招标内容在其营业执照的经营范围内，可以是制造商或者代理商。</w:t>
      </w:r>
    </w:p>
    <w:p>
      <w:pPr>
        <w:adjustRightInd w:val="0"/>
        <w:snapToGrid w:val="0"/>
        <w:spacing w:line="360" w:lineRule="auto"/>
        <w:ind w:firstLine="806" w:firstLineChars="336"/>
        <w:rPr>
          <w:rFonts w:hint="eastAsia" w:asciiTheme="majorEastAsia" w:hAnsiTheme="majorEastAsia" w:eastAsiaTheme="majorEastAsia"/>
          <w:color w:val="000000" w:themeColor="text1"/>
          <w:sz w:val="24"/>
          <w:highlight w:val="white"/>
        </w:rPr>
      </w:pPr>
      <w:r>
        <w:rPr>
          <w:rFonts w:hint="eastAsia" w:asciiTheme="majorEastAsia" w:hAnsiTheme="majorEastAsia" w:eastAsiaTheme="majorEastAsia"/>
          <w:color w:val="000000" w:themeColor="text1"/>
          <w:sz w:val="24"/>
          <w:highlight w:val="white"/>
          <w:lang w:val="en-US" w:eastAsia="zh-CN"/>
        </w:rPr>
        <w:t>B</w:t>
      </w:r>
      <w:r>
        <w:rPr>
          <w:rFonts w:hint="eastAsia" w:asciiTheme="majorEastAsia" w:hAnsiTheme="majorEastAsia" w:eastAsiaTheme="majorEastAsia"/>
          <w:color w:val="000000" w:themeColor="text1"/>
          <w:sz w:val="24"/>
          <w:highlight w:val="white"/>
        </w:rPr>
        <w:t>、投标人应具备建筑机电安装工程专业承包三级（含）以上资质且具有有效的安全生产许可证。</w:t>
      </w:r>
    </w:p>
    <w:p>
      <w:pPr>
        <w:adjustRightInd w:val="0"/>
        <w:snapToGrid w:val="0"/>
        <w:spacing w:line="360" w:lineRule="auto"/>
        <w:ind w:firstLine="806" w:firstLineChars="336"/>
        <w:rPr>
          <w:rFonts w:ascii="宋体" w:hAnsi="宋体"/>
          <w:snapToGrid w:val="0"/>
          <w:sz w:val="24"/>
        </w:rPr>
      </w:pPr>
      <w:r>
        <w:rPr>
          <w:rFonts w:hint="eastAsia" w:ascii="宋体" w:hAnsi="宋体"/>
          <w:snapToGrid w:val="0"/>
          <w:sz w:val="24"/>
        </w:rPr>
        <w:t>6、本工程不允许采用联合体投标方式。</w:t>
      </w:r>
    </w:p>
    <w:p>
      <w:pPr>
        <w:adjustRightInd w:val="0"/>
        <w:snapToGrid w:val="0"/>
        <w:spacing w:line="360" w:lineRule="auto"/>
        <w:ind w:firstLine="806" w:firstLineChars="336"/>
        <w:rPr>
          <w:rFonts w:ascii="宋体" w:hAnsi="宋体"/>
          <w:snapToGrid w:val="0"/>
          <w:sz w:val="24"/>
        </w:rPr>
      </w:pPr>
      <w:r>
        <w:rPr>
          <w:rFonts w:hint="eastAsia" w:ascii="宋体" w:hAnsi="宋体"/>
          <w:snapToGrid w:val="0"/>
          <w:sz w:val="24"/>
        </w:rPr>
        <w:t>7、现场踏勘由施工单位自行前往。</w:t>
      </w:r>
    </w:p>
    <w:p>
      <w:pPr>
        <w:adjustRightInd w:val="0"/>
        <w:snapToGrid w:val="0"/>
        <w:spacing w:line="360" w:lineRule="auto"/>
        <w:rPr>
          <w:rFonts w:ascii="宋体" w:hAnsi="宋体"/>
          <w:snapToGrid w:val="0"/>
          <w:sz w:val="24"/>
        </w:rPr>
      </w:pPr>
      <w:r>
        <w:rPr>
          <w:rFonts w:hint="eastAsia" w:ascii="宋体" w:hAnsi="宋体"/>
          <w:snapToGrid w:val="0"/>
          <w:sz w:val="24"/>
        </w:rPr>
        <w:t xml:space="preserve">    （二）投标费用</w:t>
      </w:r>
    </w:p>
    <w:p>
      <w:pPr>
        <w:adjustRightInd w:val="0"/>
        <w:snapToGrid w:val="0"/>
        <w:spacing w:line="360" w:lineRule="auto"/>
        <w:ind w:firstLine="564" w:firstLineChars="235"/>
        <w:textAlignment w:val="baseline"/>
        <w:rPr>
          <w:rFonts w:ascii="宋体" w:hAnsi="宋体"/>
          <w:sz w:val="24"/>
        </w:rPr>
      </w:pPr>
      <w:r>
        <w:rPr>
          <w:rFonts w:hint="eastAsia" w:ascii="宋体" w:hAnsi="宋体"/>
          <w:snapToGrid w:val="0"/>
          <w:sz w:val="24"/>
        </w:rPr>
        <w:t>不管投标结果如何，投标人应承担其编制投标文件与递交投标文件所涉及的一切费用。</w:t>
      </w:r>
    </w:p>
    <w:p>
      <w:pPr>
        <w:pStyle w:val="3"/>
        <w:jc w:val="center"/>
        <w:rPr>
          <w:rFonts w:ascii="黑体" w:hAnsi="黑体"/>
          <w:b w:val="0"/>
          <w:snapToGrid w:val="0"/>
          <w:sz w:val="28"/>
          <w:szCs w:val="28"/>
        </w:rPr>
      </w:pPr>
      <w:bookmarkStart w:id="6" w:name="_Toc1494"/>
      <w:r>
        <w:rPr>
          <w:rFonts w:hint="eastAsia" w:ascii="黑体" w:hAnsi="黑体"/>
          <w:b w:val="0"/>
          <w:snapToGrid w:val="0"/>
          <w:sz w:val="28"/>
          <w:szCs w:val="28"/>
        </w:rPr>
        <w:t>二、招  标  文  件</w:t>
      </w:r>
      <w:bookmarkEnd w:id="6"/>
    </w:p>
    <w:p>
      <w:pPr>
        <w:adjustRightInd w:val="0"/>
        <w:snapToGrid w:val="0"/>
        <w:spacing w:line="360" w:lineRule="auto"/>
        <w:ind w:firstLine="567"/>
        <w:rPr>
          <w:rFonts w:ascii="宋体" w:hAnsi="宋体"/>
          <w:snapToGrid w:val="0"/>
          <w:sz w:val="24"/>
        </w:rPr>
      </w:pPr>
      <w:r>
        <w:rPr>
          <w:rFonts w:hint="eastAsia" w:ascii="宋体" w:hAnsi="宋体"/>
          <w:snapToGrid w:val="0"/>
          <w:sz w:val="24"/>
        </w:rPr>
        <w:t>（四）招标文件的组成</w:t>
      </w:r>
    </w:p>
    <w:p>
      <w:pPr>
        <w:widowControl/>
        <w:numPr>
          <w:ilvl w:val="0"/>
          <w:numId w:val="2"/>
        </w:numPr>
        <w:tabs>
          <w:tab w:val="left" w:pos="851"/>
          <w:tab w:val="left" w:pos="993"/>
          <w:tab w:val="left" w:pos="1134"/>
          <w:tab w:val="clear" w:pos="1017"/>
        </w:tabs>
        <w:adjustRightInd w:val="0"/>
        <w:snapToGrid w:val="0"/>
        <w:spacing w:line="360" w:lineRule="auto"/>
        <w:ind w:left="0" w:firstLine="567"/>
        <w:jc w:val="left"/>
        <w:rPr>
          <w:rFonts w:ascii="宋体" w:hAnsi="宋体"/>
          <w:snapToGrid w:val="0"/>
          <w:sz w:val="24"/>
        </w:rPr>
      </w:pPr>
      <w:r>
        <w:rPr>
          <w:rFonts w:hint="eastAsia" w:ascii="宋体" w:hAnsi="宋体"/>
          <w:snapToGrid w:val="0"/>
          <w:sz w:val="24"/>
        </w:rPr>
        <w:t>招标文件包括本文件及所有按第（五）、（六）条发出的修改澄清通知。</w:t>
      </w:r>
    </w:p>
    <w:p>
      <w:pPr>
        <w:widowControl/>
        <w:numPr>
          <w:ilvl w:val="0"/>
          <w:numId w:val="2"/>
        </w:numPr>
        <w:tabs>
          <w:tab w:val="left" w:pos="0"/>
          <w:tab w:val="left" w:pos="993"/>
          <w:tab w:val="left" w:pos="1134"/>
          <w:tab w:val="clear" w:pos="1017"/>
        </w:tabs>
        <w:adjustRightInd w:val="0"/>
        <w:snapToGrid w:val="0"/>
        <w:spacing w:line="360" w:lineRule="auto"/>
        <w:ind w:left="0" w:firstLine="567"/>
        <w:jc w:val="left"/>
        <w:rPr>
          <w:rFonts w:ascii="宋体" w:hAnsi="宋体"/>
          <w:snapToGrid w:val="0"/>
          <w:sz w:val="24"/>
        </w:rPr>
      </w:pPr>
      <w:r>
        <w:rPr>
          <w:rFonts w:hint="eastAsia" w:ascii="宋体" w:hAnsi="宋体"/>
          <w:snapToGrid w:val="0"/>
          <w:sz w:val="24"/>
        </w:rPr>
        <w:t>投标人应认真审阅招标文件所有的内容，如果投标人的投标文件不能实质性地响应招标文件要求，责任由投标人自负。</w:t>
      </w:r>
    </w:p>
    <w:p>
      <w:pPr>
        <w:widowControl/>
        <w:numPr>
          <w:ilvl w:val="0"/>
          <w:numId w:val="2"/>
        </w:numPr>
        <w:tabs>
          <w:tab w:val="left" w:pos="0"/>
          <w:tab w:val="left" w:pos="993"/>
          <w:tab w:val="left" w:pos="1134"/>
          <w:tab w:val="clear" w:pos="1017"/>
        </w:tabs>
        <w:adjustRightInd w:val="0"/>
        <w:snapToGrid w:val="0"/>
        <w:spacing w:line="360" w:lineRule="auto"/>
        <w:ind w:left="0" w:firstLine="567"/>
        <w:jc w:val="left"/>
        <w:rPr>
          <w:rFonts w:ascii="宋体" w:hAnsi="宋体"/>
          <w:snapToGrid w:val="0"/>
          <w:sz w:val="24"/>
        </w:rPr>
      </w:pPr>
      <w:r>
        <w:rPr>
          <w:rFonts w:hint="eastAsia" w:ascii="宋体" w:hAnsi="宋体"/>
          <w:snapToGrid w:val="0"/>
          <w:sz w:val="24"/>
        </w:rPr>
        <w:t>招标文件实质性要求是指施工工期、工程质量等。</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（五）招标文件的澄清</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1、本工程招标文件的澄清采用下列方式：</w:t>
      </w:r>
    </w:p>
    <w:p>
      <w:pPr>
        <w:tabs>
          <w:tab w:val="left" w:pos="0"/>
          <w:tab w:val="left" w:pos="993"/>
          <w:tab w:val="left" w:pos="1134"/>
        </w:tabs>
        <w:adjustRightInd w:val="0"/>
        <w:snapToGrid w:val="0"/>
        <w:spacing w:line="360" w:lineRule="auto"/>
        <w:ind w:firstLine="480" w:firstLineChars="200"/>
        <w:rPr>
          <w:rFonts w:ascii="宋体" w:hAnsi="宋体"/>
          <w:snapToGrid w:val="0"/>
          <w:sz w:val="24"/>
        </w:rPr>
      </w:pPr>
      <w:r>
        <w:rPr>
          <w:rFonts w:hint="eastAsia" w:ascii="宋体" w:hAnsi="宋体"/>
          <w:snapToGrid w:val="0"/>
          <w:sz w:val="24"/>
        </w:rPr>
        <w:t xml:space="preserve"> 投标人在收到招标文件、图纸和踏勘现场后，若有疑问需要澄清，应于收到招标文件和图纸后</w:t>
      </w:r>
      <w:r>
        <w:rPr>
          <w:rFonts w:hint="eastAsia" w:ascii="宋体" w:hAnsi="宋体"/>
          <w:snapToGrid w:val="0"/>
          <w:sz w:val="24"/>
          <w:u w:val="single"/>
        </w:rPr>
        <w:t xml:space="preserve">  3  </w:t>
      </w:r>
      <w:r>
        <w:rPr>
          <w:rFonts w:hint="eastAsia" w:ascii="宋体" w:hAnsi="宋体"/>
          <w:snapToGrid w:val="0"/>
          <w:sz w:val="24"/>
        </w:rPr>
        <w:t>日内，以书面形式（包括书面文字、传真）向招标人提出，招标人将以书面形式予以解答。本次投标应完成施工图要求的全部施工内容，如果投标人不在规定的时间内对招标文件和工程量清单提出异议，则视为招标文件及工程量清单已反映图纸的全部施工内容，若有漏项视认为该项目已包含在其它项目中。竣工结算对图纸出现的此部分内容不再调整。</w:t>
      </w:r>
    </w:p>
    <w:p>
      <w:pPr>
        <w:tabs>
          <w:tab w:val="left" w:pos="0"/>
          <w:tab w:val="left" w:pos="993"/>
          <w:tab w:val="left" w:pos="1134"/>
        </w:tabs>
        <w:adjustRightInd w:val="0"/>
        <w:snapToGrid w:val="0"/>
        <w:spacing w:line="360" w:lineRule="auto"/>
        <w:ind w:firstLine="480" w:firstLineChars="200"/>
        <w:rPr>
          <w:rFonts w:ascii="宋体" w:hAnsi="宋体"/>
          <w:snapToGrid w:val="0"/>
          <w:sz w:val="24"/>
        </w:rPr>
      </w:pPr>
      <w:r>
        <w:rPr>
          <w:rFonts w:hint="eastAsia" w:ascii="宋体" w:hAnsi="宋体"/>
          <w:snapToGrid w:val="0"/>
          <w:sz w:val="24"/>
        </w:rPr>
        <w:t>2、所有问题的解答，将在</w:t>
      </w:r>
      <w:r>
        <w:rPr>
          <w:rFonts w:hint="eastAsia" w:ascii="宋体" w:hAnsi="宋体"/>
          <w:snapToGrid w:val="0"/>
          <w:sz w:val="24"/>
          <w:u w:val="single"/>
        </w:rPr>
        <w:t xml:space="preserve">  2 </w:t>
      </w:r>
      <w:r>
        <w:rPr>
          <w:rFonts w:hint="eastAsia" w:ascii="宋体" w:hAnsi="宋体"/>
          <w:snapToGrid w:val="0"/>
          <w:sz w:val="24"/>
        </w:rPr>
        <w:t>日内，提供给所有投标人。由此而产生的对招标文件内容的修改，以修改通知的方式发出。</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（六）招标文件的修改</w:t>
      </w:r>
    </w:p>
    <w:p>
      <w:pPr>
        <w:widowControl/>
        <w:numPr>
          <w:ilvl w:val="0"/>
          <w:numId w:val="3"/>
        </w:numPr>
        <w:tabs>
          <w:tab w:val="left" w:pos="0"/>
          <w:tab w:val="left" w:pos="1134"/>
        </w:tabs>
        <w:adjustRightInd w:val="0"/>
        <w:snapToGrid w:val="0"/>
        <w:spacing w:line="360" w:lineRule="auto"/>
        <w:ind w:left="0" w:firstLine="567"/>
        <w:jc w:val="left"/>
        <w:rPr>
          <w:rFonts w:ascii="宋体" w:hAnsi="宋体"/>
          <w:snapToGrid w:val="0"/>
          <w:sz w:val="24"/>
        </w:rPr>
      </w:pPr>
      <w:r>
        <w:rPr>
          <w:rFonts w:hint="eastAsia" w:ascii="宋体" w:hAnsi="宋体"/>
          <w:snapToGrid w:val="0"/>
          <w:sz w:val="24"/>
        </w:rPr>
        <w:t>在投标截止日期</w:t>
      </w:r>
      <w:r>
        <w:rPr>
          <w:rFonts w:hint="eastAsia" w:ascii="宋体" w:hAnsi="宋体"/>
          <w:snapToGrid w:val="0"/>
          <w:sz w:val="24"/>
          <w:u w:val="single"/>
        </w:rPr>
        <w:t xml:space="preserve">  15  </w:t>
      </w:r>
      <w:r>
        <w:rPr>
          <w:rFonts w:hint="eastAsia" w:ascii="宋体" w:hAnsi="宋体"/>
          <w:snapToGrid w:val="0"/>
          <w:sz w:val="24"/>
        </w:rPr>
        <w:t>天前，招标人都可能会以书面通知的方式修改招标文件。修改通知作为招标文件的组成部分，对投标人起同等约束作用。</w:t>
      </w:r>
    </w:p>
    <w:p>
      <w:pPr>
        <w:widowControl/>
        <w:numPr>
          <w:ilvl w:val="0"/>
          <w:numId w:val="3"/>
        </w:numPr>
        <w:tabs>
          <w:tab w:val="left" w:pos="0"/>
          <w:tab w:val="left" w:pos="851"/>
          <w:tab w:val="left" w:pos="993"/>
          <w:tab w:val="left" w:pos="1134"/>
          <w:tab w:val="clear" w:pos="1002"/>
        </w:tabs>
        <w:adjustRightInd w:val="0"/>
        <w:snapToGrid w:val="0"/>
        <w:spacing w:line="360" w:lineRule="auto"/>
        <w:ind w:left="0" w:firstLine="567"/>
        <w:jc w:val="left"/>
        <w:rPr>
          <w:rFonts w:ascii="宋体" w:hAnsi="宋体"/>
          <w:snapToGrid w:val="0"/>
          <w:sz w:val="24"/>
        </w:rPr>
      </w:pPr>
      <w:r>
        <w:rPr>
          <w:rFonts w:hint="eastAsia" w:ascii="宋体" w:hAnsi="宋体"/>
          <w:snapToGrid w:val="0"/>
          <w:sz w:val="24"/>
        </w:rPr>
        <w:t>为使投标人在编制投标文件时把修改通知内容考虑进去，招标人可以酌情延长递交投标文件的截止日期。具体时间将在修改通知中写明，修改通知将送达每一投标人。</w:t>
      </w:r>
    </w:p>
    <w:p>
      <w:pPr>
        <w:widowControl/>
        <w:numPr>
          <w:ilvl w:val="0"/>
          <w:numId w:val="3"/>
        </w:numPr>
        <w:tabs>
          <w:tab w:val="left" w:pos="0"/>
          <w:tab w:val="left" w:pos="851"/>
          <w:tab w:val="left" w:pos="993"/>
          <w:tab w:val="left" w:pos="1134"/>
          <w:tab w:val="clear" w:pos="1002"/>
        </w:tabs>
        <w:adjustRightInd w:val="0"/>
        <w:snapToGrid w:val="0"/>
        <w:spacing w:line="360" w:lineRule="auto"/>
        <w:ind w:left="0" w:firstLine="567"/>
        <w:jc w:val="left"/>
        <w:rPr>
          <w:rFonts w:ascii="宋体" w:hAnsi="宋体"/>
          <w:snapToGrid w:val="0"/>
          <w:sz w:val="24"/>
        </w:rPr>
      </w:pPr>
      <w:r>
        <w:rPr>
          <w:rFonts w:hint="eastAsia" w:ascii="宋体" w:hAnsi="宋体"/>
          <w:snapToGrid w:val="0"/>
          <w:sz w:val="24"/>
        </w:rPr>
        <w:t>当招标文件、修改通知内容相互矛盾时，以最后发出的通知为准。</w:t>
      </w:r>
    </w:p>
    <w:p>
      <w:pPr>
        <w:tabs>
          <w:tab w:val="left" w:pos="0"/>
          <w:tab w:val="left" w:pos="993"/>
          <w:tab w:val="left" w:pos="1134"/>
        </w:tabs>
        <w:adjustRightInd w:val="0"/>
        <w:snapToGrid w:val="0"/>
        <w:spacing w:line="360" w:lineRule="auto"/>
        <w:jc w:val="center"/>
        <w:rPr>
          <w:rFonts w:ascii="宋体" w:hAnsi="宋体"/>
          <w:b/>
          <w:snapToGrid w:val="0"/>
          <w:sz w:val="28"/>
        </w:rPr>
      </w:pPr>
    </w:p>
    <w:p>
      <w:pPr>
        <w:pStyle w:val="3"/>
        <w:jc w:val="center"/>
        <w:rPr>
          <w:rFonts w:ascii="黑体" w:hAnsi="黑体"/>
          <w:b w:val="0"/>
          <w:snapToGrid w:val="0"/>
          <w:sz w:val="28"/>
          <w:szCs w:val="28"/>
        </w:rPr>
      </w:pPr>
      <w:bookmarkStart w:id="7" w:name="_Toc8578"/>
      <w:r>
        <w:rPr>
          <w:rFonts w:hint="eastAsia" w:ascii="黑体" w:hAnsi="黑体"/>
          <w:b w:val="0"/>
          <w:snapToGrid w:val="0"/>
          <w:sz w:val="28"/>
          <w:szCs w:val="28"/>
        </w:rPr>
        <w:t>三、投  标  报  价</w:t>
      </w:r>
      <w:bookmarkEnd w:id="7"/>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（七）投标报价</w:t>
      </w:r>
    </w:p>
    <w:p>
      <w:pPr>
        <w:tabs>
          <w:tab w:val="left" w:pos="0"/>
          <w:tab w:val="left" w:pos="1134"/>
        </w:tabs>
        <w:adjustRightInd w:val="0"/>
        <w:snapToGrid w:val="0"/>
        <w:spacing w:line="360" w:lineRule="auto"/>
        <w:ind w:firstLine="480" w:firstLineChars="200"/>
        <w:rPr>
          <w:rFonts w:ascii="宋体" w:hAnsi="宋体"/>
          <w:b/>
          <w:sz w:val="24"/>
        </w:rPr>
      </w:pPr>
      <w:r>
        <w:rPr>
          <w:rFonts w:hint="eastAsia" w:ascii="宋体" w:hAnsi="宋体"/>
          <w:snapToGrid w:val="0"/>
          <w:sz w:val="24"/>
        </w:rPr>
        <w:t>1、投标报价应是招标文件所确定的招标范围内的全部工作内容的价格体现。其应包括施工设备、劳务、管理、材料、安装、维护、利润、税金及政策性文件规定的各项应有费用。</w:t>
      </w:r>
    </w:p>
    <w:p>
      <w:pPr>
        <w:tabs>
          <w:tab w:val="left" w:pos="0"/>
          <w:tab w:val="left" w:pos="1134"/>
        </w:tabs>
        <w:adjustRightInd w:val="0"/>
        <w:snapToGrid w:val="0"/>
        <w:spacing w:line="360" w:lineRule="auto"/>
        <w:ind w:firstLine="480" w:firstLineChars="200"/>
        <w:rPr>
          <w:rFonts w:ascii="宋体" w:hAnsi="宋体"/>
          <w:sz w:val="24"/>
          <w:u w:val="single"/>
        </w:rPr>
      </w:pPr>
      <w:r>
        <w:rPr>
          <w:rFonts w:hint="eastAsia" w:ascii="宋体" w:hAnsi="宋体"/>
          <w:snapToGrid w:val="0"/>
          <w:sz w:val="24"/>
        </w:rPr>
        <w:t>2、投标报价的计价方法：参照《建设工程工程量清单计价规范》（GB50500-2013）结合相关国家、地方规定的工程验收规范、标准，完成项目的全部内容所需全部费用,包括分部分项工程费、措施项目费、其他项目费用、管理费、利润、总承包配合费、规费、税金等。</w:t>
      </w:r>
    </w:p>
    <w:p>
      <w:pPr>
        <w:pStyle w:val="19"/>
        <w:tabs>
          <w:tab w:val="clear" w:pos="993"/>
        </w:tabs>
        <w:adjustRightInd w:val="0"/>
        <w:snapToGrid w:val="0"/>
        <w:spacing w:line="360" w:lineRule="auto"/>
        <w:ind w:firstLine="600" w:firstLineChars="250"/>
        <w:rPr>
          <w:snapToGrid w:val="0"/>
          <w:sz w:val="24"/>
        </w:rPr>
      </w:pPr>
      <w:r>
        <w:rPr>
          <w:rFonts w:hint="eastAsia"/>
          <w:snapToGrid w:val="0"/>
          <w:sz w:val="24"/>
        </w:rPr>
        <w:t>3、</w:t>
      </w:r>
      <w:r>
        <w:rPr>
          <w:rFonts w:hint="eastAsia"/>
          <w:b/>
          <w:spacing w:val="-10"/>
          <w:sz w:val="24"/>
        </w:rPr>
        <w:t>投标人请根据清单报价，并注明设备材料品牌。按图纸工艺方法施工。</w:t>
      </w:r>
    </w:p>
    <w:p>
      <w:pPr>
        <w:pStyle w:val="19"/>
        <w:tabs>
          <w:tab w:val="clear" w:pos="993"/>
        </w:tabs>
        <w:adjustRightInd w:val="0"/>
        <w:snapToGrid w:val="0"/>
        <w:spacing w:line="360" w:lineRule="auto"/>
        <w:ind w:firstLine="600" w:firstLineChars="250"/>
        <w:rPr>
          <w:snapToGrid w:val="0"/>
          <w:sz w:val="24"/>
        </w:rPr>
      </w:pPr>
      <w:r>
        <w:rPr>
          <w:rFonts w:hint="eastAsia"/>
          <w:snapToGrid w:val="0"/>
          <w:sz w:val="24"/>
        </w:rPr>
        <w:t>4、</w:t>
      </w:r>
      <w:r>
        <w:rPr>
          <w:rFonts w:hint="eastAsia"/>
          <w:sz w:val="24"/>
        </w:rPr>
        <w:t>投标文件采用</w:t>
      </w:r>
      <w:r>
        <w:rPr>
          <w:rFonts w:hint="eastAsia"/>
          <w:b/>
          <w:sz w:val="24"/>
          <w:u w:val="single"/>
        </w:rPr>
        <w:t>中文</w:t>
      </w:r>
      <w:r>
        <w:rPr>
          <w:rFonts w:hint="eastAsia"/>
          <w:sz w:val="24"/>
        </w:rPr>
        <w:t>版本，投标价格以</w:t>
      </w:r>
      <w:r>
        <w:rPr>
          <w:rFonts w:hint="eastAsia"/>
          <w:b/>
          <w:sz w:val="24"/>
          <w:u w:val="single"/>
        </w:rPr>
        <w:t>人民币</w:t>
      </w:r>
      <w:r>
        <w:rPr>
          <w:rFonts w:hint="eastAsia"/>
          <w:sz w:val="24"/>
        </w:rPr>
        <w:t>表示。</w:t>
      </w:r>
    </w:p>
    <w:p>
      <w:pPr>
        <w:tabs>
          <w:tab w:val="left" w:pos="0"/>
          <w:tab w:val="left" w:pos="993"/>
          <w:tab w:val="left" w:pos="1134"/>
        </w:tabs>
        <w:adjustRightInd w:val="0"/>
        <w:snapToGrid w:val="0"/>
        <w:spacing w:line="360" w:lineRule="auto"/>
        <w:ind w:firstLine="600" w:firstLineChars="250"/>
        <w:jc w:val="left"/>
        <w:rPr>
          <w:rFonts w:ascii="宋体" w:hAnsi="宋体"/>
          <w:snapToGrid w:val="0"/>
          <w:sz w:val="24"/>
        </w:rPr>
      </w:pPr>
      <w:r>
        <w:rPr>
          <w:rFonts w:hint="eastAsia" w:ascii="宋体" w:hAnsi="宋体"/>
          <w:snapToGrid w:val="0"/>
          <w:sz w:val="24"/>
        </w:rPr>
        <w:t>5、投标报价编制要求</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5.1投标报价应是招标文件（包括施工图纸及工程量清单）所确定的招标范围内的全部工作内容的价格体现，并包括投标人技术标中提出的所有工程内容及措施的费用，其应包括但不限于劳务、材料、施工机械设备、管理、安装、缺陷修补、建筑垃圾清运费、临时设施费、质检、成品维护、交通、利润、总承包配合费、安全文明施工费、税金和合同中包含的投标人所承担的全部风险、责任及政策性文件规定的各项所有费用。</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5.2施工期间发生的费用诸如：夜间施工增加费、赶工措施费、特殊条件下施工增加费等费用投标人自行考虑，计入投标报价，否则视同优惠。</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5.3投标报价应按照招标文件、施工图纸及现场勘察情况、工程量清单及编制总说明等要求并考虑所有可能影响投标报价的因素进行报价。</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5.4发包人向每个投标人提供了工程量清单。发包人并不保证所提供的资料全面而准确地反映工程的实际状况，投标单位须先到工地踏勘以充分了解工地位置、环境、道路、储存空间、装卸限制及任何其他足以影响报价之情况。一个有经验的投标人对工程特点和施工现场应作出自己的判断和推测，并对自己的判断和推测负责。投标人任何因忽视或误解工地情况而导致的成本增加或工期延长等申请要求中标后一律不予认可。</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5.5投标人应按照本招标文件要求，结合自身情况，充分考虑本工程特点和投标施工方案等，自主报价，并最大程度地满足招标文件的要求。技术规范、地方行政有关文件要求的费用应包括在投标报价中。承包人作为一个有资质、有实力、有经验的承包商，承包人应对图纸及其相关材料进行认真审阅，对现场进行详细踏勘，对图纸中的问题以及施工中有可能存在的问题并由此产生的费用全部包含在投标报价中。</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5.6投标人在确定投标报价时，应将施工期间各类市场风险、非投标人原因引起的工期延长的风险、政策性调整的风险等考虑到报价内，上述风险费用中标后一律不再调整。</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5.7措施项目是指为完成工程项目施工，发生于该工程施工前和施工过程中技术、生活、安全等方面的非工程实体项目。投标人在投标报价时应该将此类措施项目费考虑在内，费用标准自定，无论在投标报价中是否单独列出，均认为投标人已将所有措施费用计入投标报价，中标后和结算时该费用不予调整；</w:t>
      </w:r>
    </w:p>
    <w:p>
      <w:pPr>
        <w:tabs>
          <w:tab w:val="left" w:pos="0"/>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5.8工程所需的水电费，中标人在实际施工时应装表计量并按市场价计入投标报价，结算时发包人按市场单价向施工方收取（包括损耗）。</w:t>
      </w:r>
    </w:p>
    <w:p>
      <w:pPr>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5.9投标人未填单价或合价的工程项目，在工程实施后，招标人将不予以调整，并视为该项费用已包含在其他有价款的单价或合价内。投标人如将单价未计入（或少计入）合价或总价中，在工程实施后，招标人将不予以支付，该项费用被视为投标人对招标人的优惠。</w:t>
      </w:r>
    </w:p>
    <w:p>
      <w:pPr>
        <w:tabs>
          <w:tab w:val="left" w:pos="0"/>
          <w:tab w:val="left" w:pos="993"/>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5.10安全工作由承包人负责。承包人要充分考虑本工程现场的特点，做好主要通道、出入口的安全防护工作。施工期间，实行专人24小时巡岗，做好安全防盗工作。所有防护设施等费用要包含在报价中，结算时该费用不予调整。</w:t>
      </w:r>
    </w:p>
    <w:p>
      <w:pPr>
        <w:tabs>
          <w:tab w:val="left" w:pos="0"/>
          <w:tab w:val="left" w:pos="993"/>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5.11承包人自购材料在质量上必须符合设计及国家有关规范、标准及有关职能部门的规定并完全响应招标文件的要求。在施工期间，经检测、复试后，必须经甲方认可后才能用于本工程，否则造成的损失由承包人负责。</w:t>
      </w:r>
    </w:p>
    <w:p>
      <w:pPr>
        <w:tabs>
          <w:tab w:val="left" w:pos="0"/>
          <w:tab w:val="left" w:pos="993"/>
          <w:tab w:val="left" w:pos="1134"/>
        </w:tabs>
        <w:adjustRightInd w:val="0"/>
        <w:snapToGrid w:val="0"/>
        <w:spacing w:line="460" w:lineRule="exact"/>
        <w:ind w:firstLine="480" w:firstLineChars="200"/>
        <w:rPr>
          <w:rFonts w:ascii="宋体" w:hAnsi="宋体"/>
          <w:snapToGrid w:val="0"/>
          <w:sz w:val="24"/>
        </w:rPr>
      </w:pPr>
      <w:r>
        <w:rPr>
          <w:rFonts w:hint="eastAsia" w:ascii="宋体" w:hAnsi="宋体"/>
          <w:snapToGrid w:val="0"/>
          <w:sz w:val="24"/>
        </w:rPr>
        <w:t>5.12投标人应按照工程量清单的要求进行报价，对其中设有暂定价和指定品牌的材料必须符合本清单的具体要求。否则，可能导致废标。</w:t>
      </w:r>
    </w:p>
    <w:p>
      <w:pPr>
        <w:tabs>
          <w:tab w:val="left" w:pos="0"/>
          <w:tab w:val="left" w:pos="993"/>
          <w:tab w:val="left" w:pos="1134"/>
        </w:tabs>
        <w:adjustRightInd w:val="0"/>
        <w:snapToGrid w:val="0"/>
        <w:spacing w:line="360" w:lineRule="auto"/>
        <w:ind w:firstLine="480" w:firstLineChars="200"/>
        <w:rPr>
          <w:rFonts w:ascii="宋体" w:hAnsi="宋体"/>
          <w:snapToGrid w:val="0"/>
          <w:sz w:val="24"/>
        </w:rPr>
      </w:pPr>
      <w:r>
        <w:rPr>
          <w:rFonts w:hint="eastAsia" w:ascii="宋体" w:hAnsi="宋体"/>
          <w:snapToGrid w:val="0"/>
          <w:sz w:val="24"/>
        </w:rPr>
        <w:t>5.13投标报价方式：根据招标人提供的工程量清单以固定单价方式报价。在施工期间和结算审计时，投标报价的单价一概不作调整，除非招标人修改设计。</w:t>
      </w:r>
    </w:p>
    <w:p>
      <w:pPr>
        <w:pStyle w:val="19"/>
        <w:tabs>
          <w:tab w:val="left" w:pos="142"/>
          <w:tab w:val="clear" w:pos="993"/>
          <w:tab w:val="clear" w:pos="1134"/>
        </w:tabs>
        <w:adjustRightInd w:val="0"/>
        <w:snapToGrid w:val="0"/>
        <w:spacing w:line="360" w:lineRule="auto"/>
        <w:ind w:firstLine="480" w:firstLineChars="200"/>
        <w:rPr>
          <w:snapToGrid w:val="0"/>
          <w:sz w:val="24"/>
        </w:rPr>
      </w:pPr>
      <w:r>
        <w:rPr>
          <w:rFonts w:hint="eastAsia"/>
          <w:snapToGrid w:val="0"/>
          <w:kern w:val="2"/>
          <w:sz w:val="24"/>
          <w:szCs w:val="24"/>
        </w:rPr>
        <w:t>5.14不可竞争的费用计取执行《江苏省建设工程费用定额》（2014）。费率标准执行2014年费用定额（详见工程量清单) 及《省住房城乡建设厅关于建筑业实施营改增后江苏省建设工程计价依据调整的通知》苏建价（2016）154号。人工工资执行按《关于发布建设工程人工工资指导价的通知》（苏建价站〔2017〕8号）文件。</w:t>
      </w:r>
    </w:p>
    <w:p>
      <w:pPr>
        <w:tabs>
          <w:tab w:val="left" w:pos="0"/>
          <w:tab w:val="left" w:pos="993"/>
          <w:tab w:val="left" w:pos="1134"/>
        </w:tabs>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5.15按照规范规定，要求做试验的材料，必须做试验，试验合格后才可使用，试验费一次性包死，费用由承包人负责。</w:t>
      </w:r>
    </w:p>
    <w:p>
      <w:pPr>
        <w:tabs>
          <w:tab w:val="left" w:pos="0"/>
          <w:tab w:val="left" w:pos="993"/>
          <w:tab w:val="left" w:pos="1134"/>
        </w:tabs>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5.16报价及结算时，投标人要单列乙供材料清单，清单内容要包括规格、品牌、产地、单位、数量、单价、合价等。</w:t>
      </w:r>
    </w:p>
    <w:p>
      <w:pPr>
        <w:tabs>
          <w:tab w:val="left" w:pos="0"/>
          <w:tab w:val="left" w:pos="993"/>
          <w:tab w:val="left" w:pos="1134"/>
        </w:tabs>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5.17投标人确定的优惠措施及让利，应体现在各分部分项工程费、措施项目费和其他项目费的报价中。在评标过程和工程结算时均以投标报价为依据。</w:t>
      </w:r>
    </w:p>
    <w:p>
      <w:pPr>
        <w:tabs>
          <w:tab w:val="left" w:pos="0"/>
          <w:tab w:val="left" w:pos="993"/>
          <w:tab w:val="left" w:pos="1134"/>
        </w:tabs>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5.18施工现场不允许住人(含施工人员)、烧饭,投标人所需临时设施用地,投标人自行解决,其费用含在投标总价中，中标后不调整。</w:t>
      </w:r>
    </w:p>
    <w:p>
      <w:pPr>
        <w:tabs>
          <w:tab w:val="left" w:pos="0"/>
          <w:tab w:val="left" w:pos="993"/>
          <w:tab w:val="left" w:pos="1134"/>
        </w:tabs>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5.19原建筑内拆除及垃圾清运、外运费用、成品保护费、垂直运输费、二次搬运费等相关费用，请投标人在投标总价中计入，一次性包死，结算时不调整。建筑内拆除及垃圾承包人须当天及时清运、外运。</w:t>
      </w:r>
    </w:p>
    <w:p>
      <w:pPr>
        <w:tabs>
          <w:tab w:val="left" w:pos="0"/>
          <w:tab w:val="left" w:pos="993"/>
          <w:tab w:val="left" w:pos="1134"/>
        </w:tabs>
        <w:adjustRightInd w:val="0"/>
        <w:snapToGrid w:val="0"/>
        <w:spacing w:line="360" w:lineRule="auto"/>
        <w:ind w:firstLine="480" w:firstLineChars="200"/>
        <w:jc w:val="left"/>
        <w:rPr>
          <w:rFonts w:ascii="宋体" w:hAnsi="宋体"/>
          <w:b/>
          <w:snapToGrid w:val="0"/>
          <w:sz w:val="24"/>
          <w:u w:val="single"/>
        </w:rPr>
      </w:pPr>
      <w:r>
        <w:rPr>
          <w:rFonts w:hint="eastAsia" w:ascii="宋体" w:hAnsi="宋体"/>
          <w:snapToGrid w:val="0"/>
          <w:sz w:val="24"/>
        </w:rPr>
        <w:t>5.20中标人须无条件的配合发包人的日常工作，服从现场管理人员的管理及安排，安全文明施工符合相关规定要求。</w:t>
      </w:r>
    </w:p>
    <w:p>
      <w:pPr>
        <w:pStyle w:val="3"/>
        <w:jc w:val="center"/>
        <w:rPr>
          <w:rFonts w:ascii="黑体" w:hAnsi="黑体"/>
          <w:b w:val="0"/>
          <w:snapToGrid w:val="0"/>
          <w:sz w:val="28"/>
          <w:szCs w:val="28"/>
        </w:rPr>
      </w:pPr>
      <w:bookmarkStart w:id="8" w:name="_Toc29944"/>
      <w:r>
        <w:rPr>
          <w:rFonts w:hint="eastAsia" w:ascii="黑体" w:hAnsi="黑体"/>
          <w:b w:val="0"/>
          <w:snapToGrid w:val="0"/>
          <w:sz w:val="28"/>
          <w:szCs w:val="28"/>
        </w:rPr>
        <w:t>四、投标文件的编制</w:t>
      </w:r>
      <w:bookmarkEnd w:id="8"/>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（八）投标文件的组成</w:t>
      </w:r>
    </w:p>
    <w:p>
      <w:pPr>
        <w:tabs>
          <w:tab w:val="left" w:pos="0"/>
          <w:tab w:val="left" w:pos="993"/>
          <w:tab w:val="left" w:pos="1134"/>
        </w:tabs>
        <w:adjustRightInd w:val="0"/>
        <w:snapToGrid w:val="0"/>
        <w:spacing w:line="360" w:lineRule="auto"/>
        <w:ind w:firstLine="600"/>
        <w:rPr>
          <w:rFonts w:ascii="宋体" w:hAnsi="宋体"/>
          <w:snapToGrid w:val="0"/>
          <w:sz w:val="24"/>
        </w:rPr>
      </w:pPr>
      <w:r>
        <w:rPr>
          <w:rFonts w:hint="eastAsia" w:ascii="宋体" w:hAnsi="宋体"/>
          <w:snapToGrid w:val="0"/>
          <w:sz w:val="24"/>
        </w:rPr>
        <w:t>1、投标人应当按照招标文件要求编制投标文件，投标文件应对招标文件提出的实质性要求和条件做出响应。</w:t>
      </w:r>
    </w:p>
    <w:p>
      <w:pPr>
        <w:tabs>
          <w:tab w:val="left" w:pos="0"/>
          <w:tab w:val="left" w:pos="1134"/>
        </w:tabs>
        <w:adjustRightInd w:val="0"/>
        <w:snapToGrid w:val="0"/>
        <w:spacing w:line="360" w:lineRule="auto"/>
        <w:ind w:left="567"/>
        <w:rPr>
          <w:rFonts w:ascii="宋体" w:hAnsi="宋体"/>
          <w:snapToGrid w:val="0"/>
          <w:sz w:val="24"/>
        </w:rPr>
      </w:pPr>
      <w:r>
        <w:rPr>
          <w:rFonts w:hint="eastAsia" w:ascii="宋体" w:hAnsi="宋体"/>
          <w:snapToGrid w:val="0"/>
          <w:sz w:val="24"/>
        </w:rPr>
        <w:t>2、投标人的投标文件应包括下列内容：</w:t>
      </w:r>
    </w:p>
    <w:p>
      <w:pPr>
        <w:widowControl/>
        <w:numPr>
          <w:ilvl w:val="0"/>
          <w:numId w:val="4"/>
        </w:numPr>
        <w:tabs>
          <w:tab w:val="left" w:pos="800"/>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投标函</w:t>
      </w:r>
    </w:p>
    <w:p>
      <w:pPr>
        <w:widowControl/>
        <w:numPr>
          <w:ilvl w:val="0"/>
          <w:numId w:val="4"/>
        </w:numPr>
        <w:tabs>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法定代表人资格证明书</w:t>
      </w:r>
    </w:p>
    <w:p>
      <w:pPr>
        <w:widowControl/>
        <w:numPr>
          <w:ilvl w:val="0"/>
          <w:numId w:val="4"/>
        </w:numPr>
        <w:tabs>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法定代表人委托代理人的委托书</w:t>
      </w:r>
    </w:p>
    <w:p>
      <w:pPr>
        <w:widowControl/>
        <w:numPr>
          <w:ilvl w:val="0"/>
          <w:numId w:val="4"/>
        </w:numPr>
        <w:tabs>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投标保证金（如有）</w:t>
      </w:r>
    </w:p>
    <w:p>
      <w:pPr>
        <w:widowControl/>
        <w:numPr>
          <w:ilvl w:val="0"/>
          <w:numId w:val="4"/>
        </w:numPr>
        <w:tabs>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企业营业执照、企业资质、项目经理证等企业相关资料</w:t>
      </w:r>
    </w:p>
    <w:p>
      <w:pPr>
        <w:widowControl/>
        <w:numPr>
          <w:ilvl w:val="0"/>
          <w:numId w:val="4"/>
        </w:numPr>
        <w:tabs>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投标报价（包括报价汇总表，工程量清单报价表等招标文件要求）</w:t>
      </w:r>
    </w:p>
    <w:p>
      <w:pPr>
        <w:widowControl/>
        <w:numPr>
          <w:ilvl w:val="0"/>
          <w:numId w:val="4"/>
        </w:numPr>
        <w:tabs>
          <w:tab w:val="left" w:pos="993"/>
          <w:tab w:val="left" w:pos="1134"/>
        </w:tabs>
        <w:adjustRightInd w:val="0"/>
        <w:snapToGrid w:val="0"/>
        <w:spacing w:line="360" w:lineRule="auto"/>
        <w:ind w:firstLine="800"/>
        <w:rPr>
          <w:rFonts w:ascii="宋体" w:hAnsi="宋体"/>
          <w:snapToGrid w:val="0"/>
          <w:sz w:val="24"/>
        </w:rPr>
      </w:pPr>
      <w:r>
        <w:rPr>
          <w:rFonts w:hint="eastAsia" w:ascii="宋体" w:hAnsi="宋体"/>
          <w:snapToGrid w:val="0"/>
          <w:sz w:val="24"/>
        </w:rPr>
        <w:t>辅助资料表</w:t>
      </w: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3、投标人应当使用投标文件第六章中所提供的文件格式填写，如不够用时，投标人可按同样格式自行编制和添补。</w:t>
      </w:r>
    </w:p>
    <w:p>
      <w:pPr>
        <w:tabs>
          <w:tab w:val="left" w:pos="0"/>
          <w:tab w:val="left" w:pos="1134"/>
        </w:tabs>
        <w:adjustRightInd w:val="0"/>
        <w:snapToGrid w:val="0"/>
        <w:spacing w:line="360" w:lineRule="auto"/>
        <w:ind w:firstLine="240" w:firstLineChars="100"/>
        <w:rPr>
          <w:rFonts w:ascii="宋体" w:hAnsi="宋体"/>
          <w:snapToGrid w:val="0"/>
          <w:sz w:val="24"/>
        </w:rPr>
      </w:pPr>
      <w:r>
        <w:rPr>
          <w:rFonts w:hint="eastAsia" w:ascii="宋体" w:hAnsi="宋体"/>
          <w:snapToGrid w:val="0"/>
          <w:sz w:val="24"/>
        </w:rPr>
        <w:t xml:space="preserve">   （九）勘察现场</w:t>
      </w:r>
    </w:p>
    <w:p>
      <w:pPr>
        <w:widowControl/>
        <w:numPr>
          <w:ilvl w:val="0"/>
          <w:numId w:val="5"/>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投标人可以对工程施工现场、周围环境和材料样品进行勘察，以获取编制投标文件和签署合同所需的所有资料。勘察现场所发生的费用由投标人承担。</w:t>
      </w:r>
    </w:p>
    <w:p>
      <w:pPr>
        <w:widowControl/>
        <w:numPr>
          <w:ilvl w:val="0"/>
          <w:numId w:val="5"/>
        </w:numPr>
        <w:tabs>
          <w:tab w:val="left" w:pos="0"/>
          <w:tab w:val="left" w:pos="1134"/>
        </w:tabs>
        <w:adjustRightInd w:val="0"/>
        <w:snapToGrid w:val="0"/>
        <w:spacing w:line="360" w:lineRule="auto"/>
        <w:ind w:left="0" w:firstLine="567"/>
        <w:rPr>
          <w:rFonts w:ascii="宋体" w:hAnsi="宋体"/>
          <w:b/>
          <w:snapToGrid w:val="0"/>
          <w:sz w:val="24"/>
        </w:rPr>
      </w:pPr>
      <w:r>
        <w:rPr>
          <w:rFonts w:hint="eastAsia" w:ascii="宋体" w:hAnsi="宋体"/>
          <w:b/>
          <w:snapToGrid w:val="0"/>
          <w:sz w:val="24"/>
        </w:rPr>
        <w:t>招标人向投标人提供的有关施工现场的资料和数据是招标人现有的能使投标人利用的资料。招标人对投标人由此而做出的推论、理解和结论概不负责。</w:t>
      </w: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（十）投标文件的份数和签署</w:t>
      </w:r>
    </w:p>
    <w:p>
      <w:pPr>
        <w:widowControl/>
        <w:numPr>
          <w:ilvl w:val="0"/>
          <w:numId w:val="6"/>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投标人必须编制一份投标文件“正本”和前附表所要求份数的“副本”，并明确标明“正本”和“副本”。投标文件正本和副本如有不一致之处，以正本为准。</w:t>
      </w:r>
    </w:p>
    <w:p>
      <w:pPr>
        <w:widowControl/>
        <w:numPr>
          <w:ilvl w:val="0"/>
          <w:numId w:val="6"/>
        </w:numPr>
        <w:tabs>
          <w:tab w:val="left" w:pos="0"/>
          <w:tab w:val="left" w:pos="993"/>
          <w:tab w:val="left" w:pos="1134"/>
          <w:tab w:val="clear" w:pos="1002"/>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投标文件的正本与副本均应使用不能擦去的墨水书写或打印，由投标人加盖公章和法定代表人或法定代表人委托的代理人印鉴或签字。</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3、投标文件应无涂改和行间插字，除非这些删改是根据招标人的指示进行的，或者是投标人造成的必须修改的错误。修改处应由投标文件签署人加盖印鉴。</w:t>
      </w:r>
    </w:p>
    <w:p>
      <w:pPr>
        <w:tabs>
          <w:tab w:val="left" w:pos="0"/>
          <w:tab w:val="left" w:pos="993"/>
          <w:tab w:val="left" w:pos="1134"/>
        </w:tabs>
        <w:adjustRightInd w:val="0"/>
        <w:snapToGrid w:val="0"/>
        <w:spacing w:line="360" w:lineRule="auto"/>
        <w:jc w:val="center"/>
        <w:rPr>
          <w:rFonts w:ascii="宋体" w:hAnsi="宋体"/>
          <w:b/>
          <w:snapToGrid w:val="0"/>
          <w:sz w:val="28"/>
        </w:rPr>
      </w:pPr>
    </w:p>
    <w:p>
      <w:pPr>
        <w:pStyle w:val="3"/>
        <w:jc w:val="center"/>
        <w:rPr>
          <w:rFonts w:ascii="黑体" w:hAnsi="黑体"/>
          <w:b w:val="0"/>
          <w:snapToGrid w:val="0"/>
          <w:sz w:val="28"/>
          <w:szCs w:val="28"/>
        </w:rPr>
      </w:pPr>
      <w:bookmarkStart w:id="9" w:name="_Toc9050"/>
      <w:r>
        <w:rPr>
          <w:rFonts w:hint="eastAsia" w:ascii="黑体" w:hAnsi="黑体"/>
          <w:b w:val="0"/>
          <w:snapToGrid w:val="0"/>
          <w:sz w:val="28"/>
          <w:szCs w:val="28"/>
        </w:rPr>
        <w:t>五、投标文件的递交</w:t>
      </w:r>
      <w:bookmarkEnd w:id="9"/>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（十一）投标文件的密封与标志</w:t>
      </w:r>
    </w:p>
    <w:p>
      <w:pPr>
        <w:tabs>
          <w:tab w:val="left" w:pos="0"/>
          <w:tab w:val="left" w:pos="993"/>
          <w:tab w:val="left" w:pos="1134"/>
        </w:tabs>
        <w:adjustRightInd w:val="0"/>
        <w:snapToGrid w:val="0"/>
        <w:spacing w:line="360" w:lineRule="auto"/>
        <w:ind w:firstLine="567"/>
        <w:rPr>
          <w:rFonts w:ascii="宋体" w:hAnsi="宋体"/>
          <w:b/>
          <w:snapToGrid w:val="0"/>
          <w:sz w:val="24"/>
        </w:rPr>
      </w:pPr>
      <w:r>
        <w:rPr>
          <w:rFonts w:hint="eastAsia" w:ascii="宋体" w:hAnsi="宋体"/>
          <w:snapToGrid w:val="0"/>
          <w:sz w:val="24"/>
        </w:rPr>
        <w:t>1、密封：投标人必须将投标文件密封提交，</w:t>
      </w:r>
      <w:r>
        <w:rPr>
          <w:rFonts w:hint="eastAsia" w:ascii="宋体" w:hAnsi="宋体"/>
          <w:b/>
          <w:snapToGrid w:val="0"/>
          <w:sz w:val="24"/>
        </w:rPr>
        <w:t>将投标文件统一密封或将正本和副本分别封装。</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2、标志：投标人在</w:t>
      </w:r>
      <w:r>
        <w:rPr>
          <w:rFonts w:hint="eastAsia" w:ascii="宋体" w:hAnsi="宋体"/>
          <w:b/>
          <w:snapToGrid w:val="0"/>
          <w:sz w:val="24"/>
        </w:rPr>
        <w:t>封袋、标书封面</w:t>
      </w:r>
      <w:r>
        <w:rPr>
          <w:rFonts w:hint="eastAsia" w:ascii="宋体" w:hAnsi="宋体"/>
          <w:snapToGrid w:val="0"/>
          <w:sz w:val="24"/>
        </w:rPr>
        <w:t>上标明“正本”或“副本”，所有</w:t>
      </w:r>
      <w:r>
        <w:rPr>
          <w:rFonts w:hint="eastAsia" w:ascii="宋体" w:hAnsi="宋体"/>
          <w:b/>
          <w:snapToGrid w:val="0"/>
          <w:sz w:val="24"/>
        </w:rPr>
        <w:t>封袋</w:t>
      </w:r>
      <w:r>
        <w:rPr>
          <w:rFonts w:hint="eastAsia" w:ascii="宋体" w:hAnsi="宋体"/>
          <w:snapToGrid w:val="0"/>
          <w:sz w:val="24"/>
        </w:rPr>
        <w:t>上写明招标人名称和工程名称以及投标人的名称。</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（十二）投标截止期</w:t>
      </w:r>
    </w:p>
    <w:p>
      <w:pPr>
        <w:widowControl/>
        <w:numPr>
          <w:ilvl w:val="0"/>
          <w:numId w:val="7"/>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投标人应在投标须知中规定的时间之前将投标文件递交到指定地点。</w:t>
      </w:r>
    </w:p>
    <w:p>
      <w:pPr>
        <w:widowControl/>
        <w:numPr>
          <w:ilvl w:val="0"/>
          <w:numId w:val="7"/>
        </w:numPr>
        <w:tabs>
          <w:tab w:val="left" w:pos="0"/>
          <w:tab w:val="left" w:pos="993"/>
          <w:tab w:val="left" w:pos="1134"/>
          <w:tab w:val="clear" w:pos="1002"/>
        </w:tabs>
        <w:adjustRightInd w:val="0"/>
        <w:snapToGrid w:val="0"/>
        <w:spacing w:line="360" w:lineRule="auto"/>
        <w:ind w:left="0" w:firstLine="567"/>
        <w:rPr>
          <w:rFonts w:ascii="宋体" w:hAnsi="宋体"/>
          <w:snapToGrid w:val="0"/>
          <w:sz w:val="24"/>
        </w:rPr>
      </w:pPr>
      <w:r>
        <w:rPr>
          <w:rFonts w:hint="eastAsia" w:ascii="宋体" w:hAnsi="宋体"/>
          <w:snapToGrid w:val="0"/>
          <w:sz w:val="24"/>
        </w:rPr>
        <w:t>招标人可以按本文件第（五）条规定以修改通知的方式，酌情延长递交投标文件的截止日期。在上述情况下，招标人与投标人以前的投标截止期方面的全部权力、责任和义务，将适用于延长后新的投标截止期。</w:t>
      </w:r>
    </w:p>
    <w:p>
      <w:pPr>
        <w:widowControl/>
        <w:numPr>
          <w:ilvl w:val="0"/>
          <w:numId w:val="7"/>
        </w:numPr>
        <w:tabs>
          <w:tab w:val="left" w:pos="0"/>
          <w:tab w:val="left" w:pos="993"/>
          <w:tab w:val="left" w:pos="1134"/>
          <w:tab w:val="clear" w:pos="1002"/>
        </w:tabs>
        <w:adjustRightInd w:val="0"/>
        <w:snapToGrid w:val="0"/>
        <w:spacing w:line="360" w:lineRule="auto"/>
        <w:ind w:left="0" w:firstLine="567"/>
        <w:rPr>
          <w:rFonts w:ascii="宋体" w:hAnsi="宋体"/>
          <w:snapToGrid w:val="0"/>
          <w:sz w:val="24"/>
        </w:rPr>
      </w:pPr>
      <w:r>
        <w:rPr>
          <w:rFonts w:hint="eastAsia" w:ascii="宋体" w:hAnsi="宋体"/>
          <w:snapToGrid w:val="0"/>
          <w:sz w:val="24"/>
        </w:rPr>
        <w:t>超过投标截止期送达的投标文件将被拒绝并原封退给投标人。</w:t>
      </w:r>
    </w:p>
    <w:p>
      <w:pPr>
        <w:widowControl/>
        <w:numPr>
          <w:ilvl w:val="0"/>
          <w:numId w:val="7"/>
        </w:numPr>
        <w:tabs>
          <w:tab w:val="left" w:pos="0"/>
          <w:tab w:val="left" w:pos="993"/>
          <w:tab w:val="left" w:pos="1134"/>
          <w:tab w:val="clear" w:pos="1002"/>
        </w:tabs>
        <w:adjustRightInd w:val="0"/>
        <w:snapToGrid w:val="0"/>
        <w:spacing w:line="360" w:lineRule="auto"/>
        <w:ind w:left="0" w:firstLine="567"/>
        <w:rPr>
          <w:rFonts w:ascii="宋体" w:hAnsi="宋体"/>
          <w:snapToGrid w:val="0"/>
          <w:sz w:val="24"/>
        </w:rPr>
      </w:pPr>
      <w:r>
        <w:rPr>
          <w:rFonts w:hint="eastAsia" w:ascii="宋体" w:hAnsi="宋体"/>
          <w:snapToGrid w:val="0"/>
          <w:sz w:val="24"/>
        </w:rPr>
        <w:t>提交投标文件的投标人少于三个的，招标人将依法重新招标。</w:t>
      </w: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（十三）投标文件的修改与撤回</w:t>
      </w:r>
    </w:p>
    <w:p>
      <w:pPr>
        <w:widowControl/>
        <w:numPr>
          <w:ilvl w:val="0"/>
          <w:numId w:val="8"/>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投标人可以在递交投标文件以后，在规定的投标截止期之前，以书面形式向招标人递交补充、修改、替代或撤回其投标文件的通知。在投标截止期以后，不得更改投标文件。</w:t>
      </w:r>
    </w:p>
    <w:p>
      <w:pPr>
        <w:widowControl/>
        <w:numPr>
          <w:ilvl w:val="0"/>
          <w:numId w:val="8"/>
        </w:numPr>
        <w:tabs>
          <w:tab w:val="left" w:pos="0"/>
          <w:tab w:val="left" w:pos="993"/>
          <w:tab w:val="left" w:pos="1134"/>
          <w:tab w:val="clear" w:pos="1002"/>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投标人的补充、修改、替代或撤回通知，应按本文件第（十）条规定的要求编制、密封、标志和递交，密封袋上应标明“补充”、“修改”、“替代”或“撤回”字样。</w:t>
      </w:r>
    </w:p>
    <w:p>
      <w:pPr>
        <w:widowControl/>
        <w:numPr>
          <w:ilvl w:val="0"/>
          <w:numId w:val="8"/>
        </w:numPr>
        <w:tabs>
          <w:tab w:val="left" w:pos="0"/>
          <w:tab w:val="left" w:pos="709"/>
          <w:tab w:val="left" w:pos="993"/>
          <w:tab w:val="clear" w:pos="1002"/>
        </w:tabs>
        <w:adjustRightInd w:val="0"/>
        <w:snapToGrid w:val="0"/>
        <w:spacing w:line="360" w:lineRule="auto"/>
        <w:ind w:left="0" w:firstLine="567"/>
        <w:rPr>
          <w:rFonts w:ascii="宋体" w:hAnsi="宋体"/>
          <w:snapToGrid w:val="0"/>
          <w:sz w:val="24"/>
        </w:rPr>
      </w:pPr>
      <w:r>
        <w:rPr>
          <w:rFonts w:hint="eastAsia" w:ascii="宋体" w:hAnsi="宋体"/>
          <w:snapToGrid w:val="0"/>
          <w:sz w:val="24"/>
        </w:rPr>
        <w:t>投标截止以后,在投标有效期内，投标人不得撤回投标文件，否则其投标保证金将被没收。</w:t>
      </w:r>
    </w:p>
    <w:p>
      <w:pPr>
        <w:pStyle w:val="3"/>
        <w:jc w:val="center"/>
        <w:rPr>
          <w:rFonts w:ascii="黑体" w:hAnsi="黑体"/>
          <w:b w:val="0"/>
          <w:snapToGrid w:val="0"/>
          <w:sz w:val="28"/>
          <w:szCs w:val="28"/>
        </w:rPr>
      </w:pPr>
      <w:bookmarkStart w:id="10" w:name="_Toc2390"/>
      <w:r>
        <w:rPr>
          <w:rFonts w:hint="eastAsia" w:ascii="黑体" w:hAnsi="黑体"/>
          <w:b w:val="0"/>
          <w:snapToGrid w:val="0"/>
          <w:sz w:val="28"/>
          <w:szCs w:val="28"/>
        </w:rPr>
        <w:t>六、开   标</w:t>
      </w:r>
      <w:bookmarkEnd w:id="10"/>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（十四）开标</w:t>
      </w: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1、开标由招标代理主持，邀请所有投标人参加。</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2、开标时，由投标人推选的代表检查投标文件的密封情况，投标文件未按照招标文件的要求予以密封的，将作为无效投标文件，退回投标人。经投标人确认无误后的标书，由公证人员拆封及唱标。</w:t>
      </w: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3、招标人在招标文件要求提交投标文件的截止时间前收到的所有投标文件，开标时都将当众予以拆封、宣读、记录。</w:t>
      </w: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4、投标文件有下列情形之一的，招标人不予受理：</w:t>
      </w:r>
    </w:p>
    <w:p>
      <w:pPr>
        <w:tabs>
          <w:tab w:val="left" w:pos="0"/>
          <w:tab w:val="left" w:pos="1134"/>
        </w:tabs>
        <w:adjustRightInd w:val="0"/>
        <w:snapToGrid w:val="0"/>
        <w:spacing w:line="360" w:lineRule="auto"/>
        <w:ind w:firstLine="689" w:firstLineChars="245"/>
        <w:rPr>
          <w:rFonts w:ascii="宋体" w:hAnsi="宋体"/>
          <w:b/>
          <w:snapToGrid w:val="0"/>
          <w:sz w:val="28"/>
        </w:rPr>
      </w:pPr>
      <w:r>
        <w:rPr>
          <w:rFonts w:hint="eastAsia" w:ascii="宋体" w:hAnsi="宋体"/>
          <w:b/>
          <w:snapToGrid w:val="0"/>
          <w:sz w:val="28"/>
        </w:rPr>
        <w:t>（1）逾期送达的或者未送达指定地点的；</w:t>
      </w:r>
    </w:p>
    <w:p>
      <w:pPr>
        <w:tabs>
          <w:tab w:val="left" w:pos="0"/>
          <w:tab w:val="left" w:pos="1134"/>
        </w:tabs>
        <w:adjustRightInd w:val="0"/>
        <w:snapToGrid w:val="0"/>
        <w:spacing w:line="360" w:lineRule="auto"/>
        <w:rPr>
          <w:rFonts w:ascii="宋体" w:hAnsi="宋体"/>
          <w:b/>
          <w:snapToGrid w:val="0"/>
          <w:sz w:val="24"/>
        </w:rPr>
      </w:pPr>
      <w:r>
        <w:rPr>
          <w:rFonts w:hint="eastAsia" w:ascii="宋体" w:hAnsi="宋体"/>
          <w:b/>
          <w:snapToGrid w:val="0"/>
          <w:sz w:val="28"/>
        </w:rPr>
        <w:t>（2）未按招标文件要求密封的；</w:t>
      </w:r>
    </w:p>
    <w:p>
      <w:pPr>
        <w:pStyle w:val="3"/>
        <w:jc w:val="center"/>
        <w:rPr>
          <w:rFonts w:ascii="黑体" w:hAnsi="黑体"/>
          <w:b w:val="0"/>
          <w:snapToGrid w:val="0"/>
          <w:sz w:val="28"/>
          <w:szCs w:val="28"/>
        </w:rPr>
      </w:pPr>
      <w:bookmarkStart w:id="11" w:name="_Toc424"/>
      <w:r>
        <w:rPr>
          <w:rFonts w:hint="eastAsia" w:ascii="黑体" w:hAnsi="黑体"/>
          <w:b w:val="0"/>
          <w:snapToGrid w:val="0"/>
          <w:sz w:val="28"/>
          <w:szCs w:val="28"/>
        </w:rPr>
        <w:t>七、评   标</w:t>
      </w:r>
      <w:bookmarkEnd w:id="11"/>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4"/>
        </w:rPr>
        <w:t>（十五）评标</w:t>
      </w:r>
    </w:p>
    <w:p>
      <w:pPr>
        <w:pStyle w:val="111"/>
        <w:numPr>
          <w:ilvl w:val="0"/>
          <w:numId w:val="9"/>
        </w:numPr>
        <w:tabs>
          <w:tab w:val="left" w:pos="0"/>
          <w:tab w:val="left" w:pos="1134"/>
        </w:tabs>
        <w:adjustRightInd w:val="0"/>
        <w:snapToGrid w:val="0"/>
        <w:spacing w:line="360" w:lineRule="auto"/>
        <w:ind w:firstLineChars="0"/>
        <w:rPr>
          <w:rFonts w:ascii="宋体" w:hAnsi="宋体"/>
          <w:snapToGrid w:val="0"/>
          <w:sz w:val="24"/>
        </w:rPr>
      </w:pPr>
      <w:r>
        <w:rPr>
          <w:rFonts w:hint="eastAsia" w:ascii="宋体" w:hAnsi="宋体"/>
          <w:snapToGrid w:val="0"/>
          <w:sz w:val="24"/>
        </w:rPr>
        <w:t>评标活动</w:t>
      </w:r>
    </w:p>
    <w:p>
      <w:pPr>
        <w:pStyle w:val="19"/>
        <w:tabs>
          <w:tab w:val="left" w:pos="1100"/>
        </w:tabs>
        <w:adjustRightInd w:val="0"/>
        <w:snapToGrid w:val="0"/>
        <w:spacing w:line="360" w:lineRule="auto"/>
        <w:ind w:left="567" w:firstLine="0"/>
        <w:rPr>
          <w:snapToGrid w:val="0"/>
          <w:sz w:val="24"/>
        </w:rPr>
      </w:pPr>
      <w:r>
        <w:rPr>
          <w:rFonts w:hint="eastAsia"/>
          <w:snapToGrid w:val="0"/>
          <w:sz w:val="24"/>
        </w:rPr>
        <w:t>（1）评标活动在有关行政监督管理部门的监督下，由评标委员会组织进行。</w:t>
      </w:r>
    </w:p>
    <w:p>
      <w:pPr>
        <w:tabs>
          <w:tab w:val="left" w:pos="0"/>
          <w:tab w:val="left" w:pos="993"/>
          <w:tab w:val="left" w:pos="1134"/>
        </w:tabs>
        <w:adjustRightInd w:val="0"/>
        <w:snapToGrid w:val="0"/>
        <w:spacing w:line="360" w:lineRule="auto"/>
        <w:ind w:firstLine="600" w:firstLineChars="250"/>
        <w:rPr>
          <w:rFonts w:ascii="宋体" w:hAnsi="宋体"/>
          <w:snapToGrid w:val="0"/>
          <w:sz w:val="24"/>
        </w:rPr>
      </w:pPr>
      <w:r>
        <w:rPr>
          <w:rFonts w:hint="eastAsia" w:ascii="宋体" w:hAnsi="宋体"/>
          <w:snapToGrid w:val="0"/>
          <w:sz w:val="24"/>
        </w:rPr>
        <w:t>（2）评标委员会由招标人负责组建。</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2、本工程采用下列第</w:t>
      </w:r>
      <w:r>
        <w:rPr>
          <w:rFonts w:hint="eastAsia" w:ascii="宋体" w:hAnsi="宋体"/>
          <w:snapToGrid w:val="0"/>
          <w:sz w:val="24"/>
          <w:u w:val="single"/>
        </w:rPr>
        <w:t xml:space="preserve">   （2）   </w:t>
      </w:r>
      <w:r>
        <w:rPr>
          <w:rFonts w:hint="eastAsia" w:ascii="宋体" w:hAnsi="宋体"/>
          <w:snapToGrid w:val="0"/>
          <w:sz w:val="24"/>
        </w:rPr>
        <w:t>种方式进行评标。</w:t>
      </w:r>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（1）经评审的最低投标价法：是指在投标文件能够满足招标文件实质性要求的投标人中，评审出投标价格最低的投标人，但投标价格低于其企业成本的除外。</w:t>
      </w:r>
    </w:p>
    <w:p>
      <w:pPr>
        <w:pStyle w:val="69"/>
        <w:snapToGrid w:val="0"/>
        <w:spacing w:line="360" w:lineRule="auto"/>
        <w:rPr>
          <w:snapToGrid w:val="0"/>
          <w:sz w:val="24"/>
        </w:rPr>
      </w:pPr>
      <w:r>
        <w:rPr>
          <w:rFonts w:hint="eastAsia"/>
          <w:snapToGrid w:val="0"/>
          <w:sz w:val="24"/>
        </w:rPr>
        <w:t>（2）综合评估法：是指对投标文件提出的工程质量、施工工期、投标价格、施工组织设计或者施工方案、投标人及项目经理业绩等，能否最大限度地满足招标文件中规定的各项要求和评价标准进行评审和比较，择优选定中标单位。评标办法详见附页。</w:t>
      </w:r>
    </w:p>
    <w:p>
      <w:pPr>
        <w:pStyle w:val="69"/>
        <w:snapToGrid w:val="0"/>
        <w:ind w:firstLine="240" w:firstLineChars="100"/>
        <w:rPr>
          <w:snapToGrid w:val="0"/>
          <w:sz w:val="24"/>
        </w:rPr>
      </w:pPr>
      <w:r>
        <w:rPr>
          <w:rFonts w:hint="eastAsia"/>
          <w:snapToGrid w:val="0"/>
          <w:sz w:val="24"/>
        </w:rPr>
        <w:t>3、评分细则</w:t>
      </w:r>
    </w:p>
    <w:p>
      <w:pPr>
        <w:spacing w:line="360" w:lineRule="auto"/>
        <w:rPr>
          <w:rFonts w:ascii="宋体" w:hAnsi="宋体"/>
          <w:bCs/>
          <w:sz w:val="24"/>
        </w:rPr>
      </w:pPr>
      <w:r>
        <w:rPr>
          <w:rFonts w:hint="eastAsia" w:ascii="宋体" w:hAnsi="宋体"/>
          <w:bCs/>
          <w:sz w:val="24"/>
        </w:rPr>
        <w:t>3.1总则</w:t>
      </w:r>
    </w:p>
    <w:p>
      <w:pPr>
        <w:spacing w:line="360" w:lineRule="auto"/>
        <w:ind w:firstLine="480" w:firstLineChars="200"/>
        <w:rPr>
          <w:rFonts w:ascii="宋体" w:hAnsi="宋体"/>
          <w:sz w:val="24"/>
        </w:rPr>
      </w:pPr>
      <w:r>
        <w:rPr>
          <w:rFonts w:hint="eastAsia" w:ascii="宋体" w:hAnsi="宋体"/>
          <w:sz w:val="24"/>
        </w:rPr>
        <w:t>根据招标投标法及国家现行的有关法律法规，本次招标采用综合评估法中综合评分法，由评标委员会对本工程投标报价、施工工期、质量、施工组织设计进行评审和比较，以评分形式进行评估。本综合评分法采用百分制形式，具体分值见第二项。</w:t>
      </w:r>
    </w:p>
    <w:p>
      <w:pPr>
        <w:spacing w:line="360" w:lineRule="auto"/>
        <w:rPr>
          <w:rFonts w:ascii="宋体" w:hAnsi="宋体"/>
          <w:bCs/>
          <w:sz w:val="24"/>
        </w:rPr>
      </w:pPr>
      <w:r>
        <w:rPr>
          <w:rFonts w:hint="eastAsia" w:ascii="宋体" w:hAnsi="宋体"/>
          <w:bCs/>
          <w:sz w:val="24"/>
        </w:rPr>
        <w:t>3.2分值分配</w:t>
      </w:r>
    </w:p>
    <w:p>
      <w:pPr>
        <w:spacing w:line="360" w:lineRule="auto"/>
        <w:ind w:firstLine="720" w:firstLineChars="300"/>
        <w:rPr>
          <w:rFonts w:ascii="宋体" w:hAnsi="宋体"/>
          <w:sz w:val="24"/>
        </w:rPr>
      </w:pPr>
      <w:r>
        <w:rPr>
          <w:rFonts w:hint="eastAsia" w:ascii="宋体" w:hAnsi="宋体"/>
          <w:sz w:val="24"/>
        </w:rPr>
        <w:t xml:space="preserve">1、投标报价            </w:t>
      </w:r>
      <w:r>
        <w:rPr>
          <w:rFonts w:hint="eastAsia" w:ascii="宋体" w:hAnsi="宋体"/>
          <w:sz w:val="24"/>
          <w:lang w:val="en-US" w:eastAsia="zh-CN"/>
        </w:rPr>
        <w:t>75</w:t>
      </w:r>
      <w:r>
        <w:rPr>
          <w:rFonts w:hint="eastAsia" w:ascii="宋体" w:hAnsi="宋体"/>
          <w:sz w:val="24"/>
        </w:rPr>
        <w:t>分</w:t>
      </w:r>
    </w:p>
    <w:p>
      <w:pPr>
        <w:spacing w:line="360" w:lineRule="auto"/>
        <w:ind w:firstLine="720" w:firstLineChars="300"/>
        <w:rPr>
          <w:rFonts w:ascii="宋体" w:hAnsi="宋体"/>
          <w:sz w:val="24"/>
        </w:rPr>
      </w:pPr>
      <w:r>
        <w:rPr>
          <w:rFonts w:hint="eastAsia" w:ascii="宋体" w:hAnsi="宋体"/>
          <w:sz w:val="24"/>
        </w:rPr>
        <w:t>2、</w:t>
      </w:r>
      <w:r>
        <w:rPr>
          <w:rFonts w:ascii="宋体" w:hAnsi="宋体"/>
          <w:sz w:val="24"/>
        </w:rPr>
        <w:t>技术响应</w:t>
      </w:r>
      <w:r>
        <w:rPr>
          <w:rFonts w:hint="eastAsia" w:ascii="宋体" w:hAnsi="宋体"/>
          <w:sz w:val="24"/>
          <w:lang w:val="en-US" w:eastAsia="zh-CN"/>
        </w:rPr>
        <w:t xml:space="preserve">            10</w:t>
      </w:r>
      <w:r>
        <w:rPr>
          <w:rFonts w:hint="eastAsia" w:ascii="宋体" w:hAnsi="宋体"/>
          <w:sz w:val="24"/>
        </w:rPr>
        <w:t>分</w:t>
      </w:r>
    </w:p>
    <w:p>
      <w:pPr>
        <w:spacing w:line="360" w:lineRule="auto"/>
        <w:ind w:firstLine="720" w:firstLineChars="300"/>
        <w:rPr>
          <w:rFonts w:ascii="宋体" w:hAnsi="宋体"/>
          <w:sz w:val="24"/>
        </w:rPr>
      </w:pPr>
      <w:r>
        <w:rPr>
          <w:rFonts w:hint="eastAsia" w:ascii="宋体" w:hAnsi="宋体"/>
          <w:sz w:val="24"/>
        </w:rPr>
        <w:t>3、</w:t>
      </w:r>
      <w:r>
        <w:rPr>
          <w:rFonts w:ascii="宋体" w:hAnsi="宋体"/>
          <w:sz w:val="24"/>
        </w:rPr>
        <w:t>商务响应</w:t>
      </w:r>
      <w:r>
        <w:rPr>
          <w:rFonts w:hint="eastAsia" w:ascii="宋体" w:hAnsi="宋体"/>
          <w:sz w:val="24"/>
        </w:rPr>
        <w:t xml:space="preserve">             5</w:t>
      </w:r>
      <w:r>
        <w:rPr>
          <w:rFonts w:ascii="宋体" w:hAnsi="宋体"/>
          <w:sz w:val="24"/>
        </w:rPr>
        <w:t>分</w:t>
      </w:r>
    </w:p>
    <w:p>
      <w:pPr>
        <w:spacing w:line="360" w:lineRule="auto"/>
        <w:ind w:firstLine="720" w:firstLineChars="300"/>
        <w:rPr>
          <w:rFonts w:ascii="宋体" w:hAnsi="宋体"/>
          <w:sz w:val="24"/>
        </w:rPr>
      </w:pPr>
      <w:r>
        <w:rPr>
          <w:rFonts w:hint="eastAsia" w:ascii="宋体" w:hAnsi="宋体"/>
          <w:sz w:val="24"/>
        </w:rPr>
        <w:t>4、</w:t>
      </w:r>
      <w:r>
        <w:rPr>
          <w:rFonts w:ascii="宋体" w:hAnsi="宋体"/>
          <w:sz w:val="24"/>
        </w:rPr>
        <w:t>售后服务</w:t>
      </w:r>
      <w:r>
        <w:rPr>
          <w:rFonts w:hint="eastAsia" w:ascii="宋体" w:hAnsi="宋体"/>
          <w:sz w:val="24"/>
        </w:rPr>
        <w:t xml:space="preserve">            10</w:t>
      </w:r>
      <w:r>
        <w:rPr>
          <w:rFonts w:ascii="宋体" w:hAnsi="宋体"/>
          <w:sz w:val="24"/>
        </w:rPr>
        <w:t>分</w:t>
      </w:r>
    </w:p>
    <w:p>
      <w:pPr>
        <w:spacing w:line="360" w:lineRule="auto"/>
        <w:rPr>
          <w:rFonts w:ascii="宋体" w:hAnsi="宋体"/>
          <w:bCs/>
          <w:sz w:val="24"/>
        </w:rPr>
      </w:pPr>
      <w:r>
        <w:rPr>
          <w:rFonts w:hint="eastAsia" w:ascii="宋体" w:hAnsi="宋体"/>
          <w:bCs/>
          <w:sz w:val="24"/>
        </w:rPr>
        <w:t>3.3评分标准</w:t>
      </w:r>
    </w:p>
    <w:p>
      <w:pPr>
        <w:spacing w:line="480" w:lineRule="exact"/>
        <w:ind w:firstLine="482" w:firstLineChars="200"/>
        <w:rPr>
          <w:rFonts w:ascii="宋体" w:hAnsi="宋体"/>
          <w:b/>
          <w:sz w:val="24"/>
        </w:rPr>
      </w:pPr>
      <w:r>
        <w:rPr>
          <w:rFonts w:hint="eastAsia" w:ascii="宋体" w:hAnsi="宋体"/>
          <w:b/>
          <w:sz w:val="24"/>
        </w:rPr>
        <w:t>(一)投标报价（满分</w:t>
      </w:r>
      <w:r>
        <w:rPr>
          <w:rFonts w:hint="eastAsia" w:ascii="宋体" w:hAnsi="宋体"/>
          <w:b/>
          <w:sz w:val="24"/>
          <w:lang w:val="en-US" w:eastAsia="zh-CN"/>
        </w:rPr>
        <w:t>75</w:t>
      </w:r>
      <w:r>
        <w:rPr>
          <w:rFonts w:hint="eastAsia" w:ascii="宋体" w:hAnsi="宋体"/>
          <w:b/>
          <w:sz w:val="24"/>
        </w:rPr>
        <w:t>分）</w:t>
      </w:r>
      <w:r>
        <w:rPr>
          <w:rFonts w:hint="eastAsia" w:ascii="宋体" w:hAnsi="宋体"/>
          <w:b/>
          <w:bCs/>
          <w:sz w:val="24"/>
        </w:rPr>
        <w:t>；</w:t>
      </w:r>
    </w:p>
    <w:p>
      <w:pPr>
        <w:spacing w:line="360" w:lineRule="auto"/>
        <w:ind w:firstLine="480" w:firstLineChars="200"/>
        <w:rPr>
          <w:rFonts w:ascii="宋体" w:hAnsi="宋体"/>
          <w:sz w:val="24"/>
        </w:rPr>
      </w:pPr>
      <w:r>
        <w:rPr>
          <w:rFonts w:hint="eastAsia" w:ascii="宋体" w:hAnsi="宋体"/>
          <w:sz w:val="24"/>
        </w:rPr>
        <w:t>有效投标人的投标报价的算术平均值做为W， W值*</w:t>
      </w:r>
      <w:r>
        <w:rPr>
          <w:rFonts w:hint="eastAsia" w:ascii="宋体" w:hAnsi="宋体"/>
          <w:color w:val="FF0000"/>
          <w:sz w:val="24"/>
        </w:rPr>
        <w:t>97%</w:t>
      </w:r>
      <w:r>
        <w:rPr>
          <w:rFonts w:hint="eastAsia" w:ascii="宋体" w:hAnsi="宋体"/>
          <w:sz w:val="24"/>
        </w:rPr>
        <w:t>为评标基准价。有效投标人的投标报价等于评标基准价得满分</w:t>
      </w:r>
      <w:r>
        <w:rPr>
          <w:rFonts w:hint="eastAsia" w:ascii="宋体" w:hAnsi="宋体"/>
          <w:sz w:val="24"/>
          <w:lang w:val="en-US" w:eastAsia="zh-CN"/>
        </w:rPr>
        <w:t>75</w:t>
      </w:r>
      <w:r>
        <w:rPr>
          <w:rFonts w:hint="eastAsia" w:ascii="宋体" w:hAnsi="宋体"/>
          <w:sz w:val="24"/>
        </w:rPr>
        <w:t>分；各有效投标人的投标报价每高于评标基准价的1%时扣0.5分，每低于评标基准价的1%时扣0.3分，不足1%的按比例得分（小数点后保留两位）。</w:t>
      </w:r>
    </w:p>
    <w:p>
      <w:pPr>
        <w:spacing w:line="480" w:lineRule="exact"/>
        <w:ind w:firstLine="482" w:firstLineChars="200"/>
        <w:rPr>
          <w:rFonts w:ascii="宋体" w:hAnsi="宋体"/>
          <w:b/>
          <w:sz w:val="24"/>
        </w:rPr>
      </w:pPr>
      <w:r>
        <w:rPr>
          <w:rFonts w:hint="eastAsia" w:ascii="宋体" w:hAnsi="宋体"/>
          <w:b/>
          <w:sz w:val="24"/>
        </w:rPr>
        <w:t>(二)</w:t>
      </w:r>
      <w:r>
        <w:rPr>
          <w:rFonts w:ascii="宋体" w:hAnsi="宋体"/>
          <w:b/>
          <w:sz w:val="24"/>
        </w:rPr>
        <w:t xml:space="preserve"> 技术响应</w:t>
      </w:r>
      <w:r>
        <w:rPr>
          <w:rFonts w:hint="eastAsia" w:ascii="宋体" w:hAnsi="宋体"/>
          <w:b/>
          <w:sz w:val="24"/>
        </w:rPr>
        <w:t>（满分</w:t>
      </w:r>
      <w:r>
        <w:rPr>
          <w:rFonts w:hint="eastAsia" w:ascii="宋体" w:hAnsi="宋体"/>
          <w:b/>
          <w:sz w:val="24"/>
          <w:lang w:val="en-US" w:eastAsia="zh-CN"/>
        </w:rPr>
        <w:t>10</w:t>
      </w:r>
      <w:r>
        <w:rPr>
          <w:rFonts w:hint="eastAsia" w:ascii="宋体" w:hAnsi="宋体"/>
          <w:b/>
          <w:sz w:val="24"/>
        </w:rPr>
        <w:t>分）；</w:t>
      </w:r>
    </w:p>
    <w:p>
      <w:pPr>
        <w:spacing w:line="360" w:lineRule="auto"/>
        <w:ind w:firstLine="480" w:firstLineChars="200"/>
        <w:rPr>
          <w:rFonts w:hint="eastAsia" w:ascii="宋体" w:hAnsi="宋体"/>
          <w:sz w:val="24"/>
        </w:rPr>
      </w:pPr>
      <w:r>
        <w:rPr>
          <w:rFonts w:hint="eastAsia" w:ascii="宋体" w:hAnsi="宋体"/>
          <w:sz w:val="24"/>
        </w:rPr>
        <w:t>(1)采用环保制冷剂R410A得</w:t>
      </w:r>
      <w:r>
        <w:rPr>
          <w:rFonts w:hint="eastAsia" w:ascii="宋体" w:hAnsi="宋体"/>
          <w:sz w:val="24"/>
          <w:lang w:val="en-US" w:eastAsia="zh-CN"/>
        </w:rPr>
        <w:t>5</w:t>
      </w:r>
      <w:r>
        <w:rPr>
          <w:rFonts w:hint="eastAsia" w:ascii="宋体" w:hAnsi="宋体"/>
          <w:sz w:val="24"/>
        </w:rPr>
        <w:t>分，其他环保制冷剂得</w:t>
      </w:r>
      <w:r>
        <w:rPr>
          <w:rFonts w:hint="eastAsia" w:ascii="宋体" w:hAnsi="宋体"/>
          <w:sz w:val="24"/>
          <w:lang w:val="en-US" w:eastAsia="zh-CN"/>
        </w:rPr>
        <w:t>2</w:t>
      </w:r>
      <w:r>
        <w:rPr>
          <w:rFonts w:hint="eastAsia" w:ascii="宋体" w:hAnsi="宋体"/>
          <w:sz w:val="24"/>
        </w:rPr>
        <w:t>分，R22得0分。</w:t>
      </w:r>
    </w:p>
    <w:p>
      <w:pPr>
        <w:spacing w:line="360" w:lineRule="auto"/>
        <w:ind w:firstLine="480" w:firstLineChars="200"/>
        <w:rPr>
          <w:rFonts w:hint="eastAsia" w:ascii="宋体" w:hAnsi="宋体"/>
          <w:sz w:val="24"/>
        </w:rPr>
      </w:pPr>
      <w:r>
        <w:rPr>
          <w:rFonts w:hint="eastAsia" w:ascii="宋体" w:hAnsi="宋体"/>
          <w:sz w:val="24"/>
        </w:rPr>
        <w:t>(2)设备技术参数全部满足招标要求的得满分</w:t>
      </w:r>
      <w:r>
        <w:rPr>
          <w:rFonts w:hint="eastAsia" w:ascii="宋体" w:hAnsi="宋体"/>
          <w:sz w:val="24"/>
          <w:lang w:val="en-US" w:eastAsia="zh-CN"/>
        </w:rPr>
        <w:t>5</w:t>
      </w:r>
      <w:r>
        <w:rPr>
          <w:rFonts w:hint="eastAsia" w:ascii="宋体" w:hAnsi="宋体"/>
          <w:sz w:val="24"/>
        </w:rPr>
        <w:t>分；有一项偏离扣</w:t>
      </w:r>
      <w:r>
        <w:rPr>
          <w:rFonts w:hint="eastAsia" w:ascii="宋体" w:hAnsi="宋体"/>
          <w:sz w:val="24"/>
          <w:lang w:val="en-US" w:eastAsia="zh-CN"/>
        </w:rPr>
        <w:t>1</w:t>
      </w:r>
      <w:r>
        <w:rPr>
          <w:rFonts w:hint="eastAsia" w:ascii="宋体" w:hAnsi="宋体"/>
          <w:sz w:val="24"/>
        </w:rPr>
        <w:t>分，扣完为止。</w:t>
      </w:r>
    </w:p>
    <w:p>
      <w:pPr>
        <w:spacing w:line="480" w:lineRule="exact"/>
        <w:ind w:firstLine="482" w:firstLineChars="200"/>
        <w:rPr>
          <w:rFonts w:ascii="宋体" w:hAnsi="宋体"/>
          <w:b/>
          <w:sz w:val="24"/>
        </w:rPr>
      </w:pPr>
      <w:r>
        <w:rPr>
          <w:rFonts w:hint="eastAsia" w:ascii="宋体" w:hAnsi="宋体"/>
          <w:b/>
          <w:sz w:val="24"/>
        </w:rPr>
        <w:t>(三)商务</w:t>
      </w:r>
      <w:r>
        <w:rPr>
          <w:rFonts w:ascii="宋体" w:hAnsi="宋体"/>
          <w:b/>
          <w:sz w:val="24"/>
        </w:rPr>
        <w:t>响应</w:t>
      </w:r>
      <w:r>
        <w:rPr>
          <w:rFonts w:hint="eastAsia" w:ascii="宋体" w:hAnsi="宋体"/>
          <w:b/>
          <w:sz w:val="24"/>
        </w:rPr>
        <w:t>（满分5分）；</w:t>
      </w:r>
    </w:p>
    <w:p>
      <w:pPr>
        <w:spacing w:line="360" w:lineRule="auto"/>
        <w:ind w:firstLine="480" w:firstLineChars="200"/>
        <w:rPr>
          <w:rFonts w:ascii="宋体" w:hAnsi="宋体"/>
          <w:sz w:val="24"/>
        </w:rPr>
      </w:pPr>
      <w:r>
        <w:rPr>
          <w:rFonts w:hint="eastAsia" w:ascii="宋体" w:hAnsi="宋体"/>
          <w:sz w:val="24"/>
        </w:rPr>
        <w:t>(1)</w:t>
      </w:r>
      <w:r>
        <w:rPr>
          <w:rFonts w:ascii="宋体" w:hAnsi="宋体"/>
          <w:sz w:val="24"/>
        </w:rPr>
        <w:t>投标人企业实力</w:t>
      </w:r>
    </w:p>
    <w:p>
      <w:pPr>
        <w:spacing w:line="360" w:lineRule="auto"/>
        <w:rPr>
          <w:rFonts w:ascii="宋体" w:hAnsi="宋体"/>
          <w:sz w:val="24"/>
        </w:rPr>
      </w:pPr>
      <w:r>
        <w:rPr>
          <w:rFonts w:ascii="宋体" w:hAnsi="宋体"/>
          <w:sz w:val="24"/>
        </w:rPr>
        <w:t>投标商具有“中国制冷空调设备维修安装企业”一级资质证书得2分，二级资质证书得1分，三级资质证书得0.5分，没有不得分。</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投标人业绩</w:t>
      </w:r>
    </w:p>
    <w:p>
      <w:pPr>
        <w:spacing w:line="360" w:lineRule="auto"/>
        <w:rPr>
          <w:rFonts w:ascii="宋体" w:hAnsi="宋体"/>
          <w:sz w:val="24"/>
        </w:rPr>
      </w:pPr>
      <w:r>
        <w:rPr>
          <w:rFonts w:ascii="宋体" w:hAnsi="宋体"/>
          <w:sz w:val="24"/>
        </w:rPr>
        <w:t>投标人自2013年1月1日以来所承担过的中央空调供货与安装工程单项合同金额超过</w:t>
      </w:r>
      <w:r>
        <w:rPr>
          <w:rFonts w:hint="eastAsia" w:ascii="宋体" w:hAnsi="宋体"/>
          <w:sz w:val="24"/>
        </w:rPr>
        <w:t>30</w:t>
      </w:r>
      <w:r>
        <w:rPr>
          <w:rFonts w:ascii="宋体" w:hAnsi="宋体"/>
          <w:sz w:val="24"/>
        </w:rPr>
        <w:t>0万元的每个得1分，最多</w:t>
      </w:r>
      <w:r>
        <w:rPr>
          <w:rFonts w:hint="eastAsia" w:ascii="宋体" w:hAnsi="宋体"/>
          <w:sz w:val="24"/>
        </w:rPr>
        <w:t>3</w:t>
      </w:r>
      <w:r>
        <w:rPr>
          <w:rFonts w:ascii="宋体" w:hAnsi="宋体"/>
          <w:sz w:val="24"/>
        </w:rPr>
        <w:t>分，没有不得分。</w:t>
      </w:r>
    </w:p>
    <w:p>
      <w:pPr>
        <w:spacing w:line="480" w:lineRule="exact"/>
        <w:ind w:firstLine="482" w:firstLineChars="200"/>
        <w:rPr>
          <w:rFonts w:ascii="宋体" w:hAnsi="宋体"/>
          <w:b/>
          <w:sz w:val="24"/>
        </w:rPr>
      </w:pPr>
      <w:r>
        <w:rPr>
          <w:rFonts w:hint="eastAsia" w:ascii="宋体" w:hAnsi="宋体"/>
          <w:b/>
          <w:sz w:val="24"/>
        </w:rPr>
        <w:t>(四)售后服务（满分10分）；</w:t>
      </w:r>
    </w:p>
    <w:p>
      <w:pPr>
        <w:spacing w:line="360" w:lineRule="auto"/>
        <w:ind w:firstLine="480" w:firstLineChars="200"/>
        <w:rPr>
          <w:rFonts w:ascii="宋体" w:hAnsi="宋体"/>
          <w:sz w:val="24"/>
        </w:rPr>
      </w:pPr>
      <w:r>
        <w:rPr>
          <w:rFonts w:hint="eastAsia" w:ascii="宋体" w:hAnsi="宋体"/>
          <w:sz w:val="24"/>
        </w:rPr>
        <w:t>(1)</w:t>
      </w:r>
      <w:r>
        <w:rPr>
          <w:rFonts w:ascii="宋体" w:hAnsi="宋体"/>
          <w:sz w:val="24"/>
        </w:rPr>
        <w:t xml:space="preserve"> 售后服务承诺</w:t>
      </w:r>
    </w:p>
    <w:p>
      <w:pPr>
        <w:spacing w:line="360" w:lineRule="auto"/>
        <w:rPr>
          <w:rFonts w:ascii="宋体" w:hAnsi="宋体"/>
          <w:sz w:val="24"/>
        </w:rPr>
      </w:pPr>
      <w:r>
        <w:rPr>
          <w:rFonts w:ascii="宋体" w:hAnsi="宋体"/>
          <w:sz w:val="24"/>
        </w:rPr>
        <w:t>免费质保期</w:t>
      </w:r>
      <w:r>
        <w:rPr>
          <w:rFonts w:hint="eastAsia" w:ascii="宋体" w:hAnsi="宋体"/>
          <w:sz w:val="24"/>
        </w:rPr>
        <w:t>为</w:t>
      </w:r>
      <w:r>
        <w:rPr>
          <w:rFonts w:hint="eastAsia" w:ascii="宋体" w:hAnsi="宋体"/>
          <w:sz w:val="24"/>
          <w:lang w:eastAsia="zh-CN"/>
        </w:rPr>
        <w:t>四</w:t>
      </w:r>
      <w:r>
        <w:rPr>
          <w:rFonts w:hint="eastAsia" w:ascii="宋体" w:hAnsi="宋体"/>
          <w:sz w:val="24"/>
        </w:rPr>
        <w:t>年</w:t>
      </w:r>
      <w:r>
        <w:rPr>
          <w:rFonts w:ascii="宋体" w:hAnsi="宋体"/>
          <w:sz w:val="24"/>
        </w:rPr>
        <w:t>得</w:t>
      </w:r>
      <w:r>
        <w:rPr>
          <w:rFonts w:hint="eastAsia" w:ascii="宋体" w:hAnsi="宋体"/>
          <w:sz w:val="24"/>
        </w:rPr>
        <w:t>5</w:t>
      </w:r>
      <w:r>
        <w:rPr>
          <w:rFonts w:ascii="宋体" w:hAnsi="宋体"/>
          <w:sz w:val="24"/>
        </w:rPr>
        <w:t>分，免费质保期</w:t>
      </w:r>
      <w:r>
        <w:rPr>
          <w:rFonts w:hint="eastAsia" w:ascii="宋体" w:hAnsi="宋体"/>
          <w:sz w:val="24"/>
        </w:rPr>
        <w:t>为</w:t>
      </w:r>
      <w:r>
        <w:rPr>
          <w:rFonts w:hint="eastAsia" w:ascii="宋体" w:hAnsi="宋体"/>
          <w:sz w:val="24"/>
          <w:lang w:eastAsia="zh-CN"/>
        </w:rPr>
        <w:t>三</w:t>
      </w:r>
      <w:r>
        <w:rPr>
          <w:rFonts w:hint="eastAsia" w:ascii="宋体" w:hAnsi="宋体"/>
          <w:sz w:val="24"/>
        </w:rPr>
        <w:t>年</w:t>
      </w:r>
      <w:r>
        <w:rPr>
          <w:rFonts w:ascii="宋体" w:hAnsi="宋体"/>
          <w:sz w:val="24"/>
        </w:rPr>
        <w:t>得</w:t>
      </w:r>
      <w:r>
        <w:rPr>
          <w:rFonts w:hint="eastAsia" w:ascii="宋体" w:hAnsi="宋体"/>
          <w:sz w:val="24"/>
        </w:rPr>
        <w:t>3</w:t>
      </w:r>
      <w:r>
        <w:rPr>
          <w:rFonts w:ascii="宋体" w:hAnsi="宋体"/>
          <w:sz w:val="24"/>
        </w:rPr>
        <w:t>分，免费质保期</w:t>
      </w:r>
      <w:r>
        <w:rPr>
          <w:rFonts w:hint="eastAsia" w:ascii="宋体" w:hAnsi="宋体"/>
          <w:sz w:val="24"/>
        </w:rPr>
        <w:t>为</w:t>
      </w:r>
      <w:r>
        <w:rPr>
          <w:rFonts w:hint="eastAsia" w:ascii="宋体" w:hAnsi="宋体"/>
          <w:sz w:val="24"/>
          <w:lang w:eastAsia="zh-CN"/>
        </w:rPr>
        <w:t>二</w:t>
      </w:r>
      <w:r>
        <w:rPr>
          <w:rFonts w:hint="eastAsia" w:ascii="宋体" w:hAnsi="宋体"/>
          <w:sz w:val="24"/>
        </w:rPr>
        <w:t>年</w:t>
      </w:r>
      <w:r>
        <w:rPr>
          <w:rFonts w:ascii="宋体" w:hAnsi="宋体"/>
          <w:sz w:val="24"/>
        </w:rPr>
        <w:t>得</w:t>
      </w:r>
      <w:r>
        <w:rPr>
          <w:rFonts w:hint="eastAsia" w:ascii="宋体" w:hAnsi="宋体"/>
          <w:sz w:val="24"/>
        </w:rPr>
        <w:t>1</w:t>
      </w:r>
      <w:r>
        <w:rPr>
          <w:rFonts w:ascii="宋体" w:hAnsi="宋体"/>
          <w:sz w:val="24"/>
        </w:rPr>
        <w:t>分</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施工组织方案满分</w:t>
      </w:r>
      <w:r>
        <w:rPr>
          <w:rFonts w:hint="eastAsia" w:ascii="宋体" w:hAnsi="宋体"/>
          <w:sz w:val="24"/>
        </w:rPr>
        <w:t>5</w:t>
      </w:r>
      <w:r>
        <w:rPr>
          <w:rFonts w:ascii="宋体" w:hAnsi="宋体"/>
          <w:sz w:val="24"/>
        </w:rPr>
        <w:t>分，合理可行得</w:t>
      </w:r>
      <w:r>
        <w:rPr>
          <w:rFonts w:hint="eastAsia" w:ascii="宋体" w:hAnsi="宋体"/>
          <w:sz w:val="24"/>
        </w:rPr>
        <w:t>3</w:t>
      </w:r>
      <w:r>
        <w:rPr>
          <w:rFonts w:ascii="宋体" w:hAnsi="宋体"/>
          <w:sz w:val="24"/>
        </w:rPr>
        <w:t>分，一般得1分，没有不得分。</w:t>
      </w:r>
    </w:p>
    <w:p>
      <w:pPr>
        <w:spacing w:line="360" w:lineRule="auto"/>
        <w:rPr>
          <w:rFonts w:ascii="宋体" w:hAnsi="宋体"/>
          <w:bCs/>
          <w:sz w:val="24"/>
        </w:rPr>
      </w:pPr>
      <w:r>
        <w:rPr>
          <w:rFonts w:hint="eastAsia" w:ascii="宋体" w:hAnsi="宋体"/>
          <w:bCs/>
          <w:sz w:val="24"/>
        </w:rPr>
        <w:t>3.4计分方式：</w:t>
      </w:r>
    </w:p>
    <w:p>
      <w:pPr>
        <w:spacing w:line="360" w:lineRule="auto"/>
        <w:ind w:firstLine="480" w:firstLineChars="200"/>
        <w:rPr>
          <w:rFonts w:ascii="宋体" w:hAnsi="宋体"/>
          <w:sz w:val="24"/>
        </w:rPr>
      </w:pPr>
      <w:r>
        <w:rPr>
          <w:rFonts w:hint="eastAsia" w:ascii="宋体" w:hAnsi="宋体"/>
          <w:sz w:val="24"/>
        </w:rPr>
        <w:t>由各评委按评分标准分别对各有效投标人的每项评分因素进行打分，然后将各有效投标人每一项因素的专家打分进行平均并相加，由此得出各有效投标人的综合得分，最后根据各有效投标人的综合得分推荐前三名中标候选人。由招标人（发包人）根据法律法规规定确定中标人。</w:t>
      </w:r>
    </w:p>
    <w:p>
      <w:pPr>
        <w:spacing w:line="360" w:lineRule="auto"/>
        <w:rPr>
          <w:rFonts w:ascii="宋体" w:hAnsi="宋体"/>
          <w:bCs/>
          <w:sz w:val="24"/>
        </w:rPr>
      </w:pPr>
      <w:r>
        <w:rPr>
          <w:rFonts w:hint="eastAsia" w:ascii="宋体" w:hAnsi="宋体"/>
          <w:bCs/>
          <w:sz w:val="24"/>
        </w:rPr>
        <w:t>3.5评标过程保密：</w:t>
      </w:r>
    </w:p>
    <w:p>
      <w:pPr>
        <w:spacing w:line="360" w:lineRule="auto"/>
        <w:ind w:left="420"/>
        <w:rPr>
          <w:rFonts w:ascii="宋体" w:hAnsi="宋体"/>
          <w:sz w:val="24"/>
        </w:rPr>
      </w:pPr>
      <w:r>
        <w:rPr>
          <w:rFonts w:hint="eastAsia" w:ascii="宋体" w:hAnsi="宋体"/>
          <w:sz w:val="24"/>
        </w:rPr>
        <w:t>1、开标直至定标签约，凡与评标有关的资料以及评委会工作情况，均不得泄漏；</w:t>
      </w:r>
    </w:p>
    <w:p>
      <w:pPr>
        <w:spacing w:line="360" w:lineRule="auto"/>
        <w:ind w:left="420"/>
        <w:rPr>
          <w:rFonts w:ascii="宋体" w:hAnsi="宋体"/>
          <w:sz w:val="24"/>
        </w:rPr>
      </w:pPr>
      <w:r>
        <w:rPr>
          <w:rFonts w:hint="eastAsia" w:ascii="宋体" w:hAnsi="宋体"/>
          <w:sz w:val="24"/>
        </w:rPr>
        <w:t>2、任何投标人不得对评标人员施加影响，否则取消参加进一步评审的资格；</w:t>
      </w:r>
    </w:p>
    <w:p>
      <w:pPr>
        <w:spacing w:line="360" w:lineRule="auto"/>
        <w:ind w:left="420"/>
        <w:rPr>
          <w:rFonts w:ascii="宋体" w:hAnsi="宋体"/>
          <w:sz w:val="24"/>
        </w:rPr>
      </w:pPr>
      <w:r>
        <w:rPr>
          <w:rFonts w:hint="eastAsia" w:ascii="宋体" w:hAnsi="宋体"/>
          <w:sz w:val="24"/>
        </w:rPr>
        <w:t>3、开标直到定标过程中的所有文字材料（含草稿）不得带出评标场所，由专人保管并处理。</w:t>
      </w:r>
    </w:p>
    <w:p>
      <w:pPr>
        <w:tabs>
          <w:tab w:val="left" w:pos="0"/>
          <w:tab w:val="left" w:pos="1134"/>
        </w:tabs>
        <w:adjustRightInd w:val="0"/>
        <w:snapToGrid w:val="0"/>
        <w:spacing w:line="360" w:lineRule="auto"/>
        <w:ind w:firstLine="566" w:firstLineChars="236"/>
        <w:rPr>
          <w:rFonts w:ascii="宋体" w:hAnsi="宋体"/>
          <w:snapToGrid w:val="0"/>
          <w:sz w:val="24"/>
        </w:rPr>
      </w:pPr>
      <w:r>
        <w:rPr>
          <w:rFonts w:hint="eastAsia" w:ascii="宋体" w:hAnsi="宋体"/>
          <w:snapToGrid w:val="0"/>
          <w:sz w:val="24"/>
        </w:rPr>
        <w:t>（十六）投标文件的澄清</w:t>
      </w:r>
    </w:p>
    <w:p>
      <w:pPr>
        <w:pStyle w:val="19"/>
        <w:adjustRightInd w:val="0"/>
        <w:snapToGrid w:val="0"/>
        <w:spacing w:line="360" w:lineRule="auto"/>
        <w:rPr>
          <w:snapToGrid w:val="0"/>
          <w:sz w:val="24"/>
        </w:rPr>
      </w:pPr>
      <w:r>
        <w:rPr>
          <w:rFonts w:hint="eastAsia"/>
          <w:snapToGrid w:val="0"/>
          <w:sz w:val="24"/>
        </w:rPr>
        <w:t>1、为了有助于投标文件的审查、评价和比较，评标委员会可以书面方式要求投标人对投标文件中含义不明确、对同类问题表述不一致或者有明显文字和计算错误的内容作必要的澄清、说明或者补正。投标人的澄清、说明或者补正应以书面方式进行并不得超出投标文件的范围或者改变投标文件的实质性内容。</w:t>
      </w:r>
    </w:p>
    <w:p>
      <w:pPr>
        <w:pStyle w:val="19"/>
        <w:adjustRightInd w:val="0"/>
        <w:snapToGrid w:val="0"/>
        <w:spacing w:line="360" w:lineRule="auto"/>
        <w:rPr>
          <w:snapToGrid w:val="0"/>
          <w:sz w:val="24"/>
        </w:rPr>
      </w:pPr>
      <w:r>
        <w:rPr>
          <w:rFonts w:hint="eastAsia"/>
          <w:snapToGrid w:val="0"/>
          <w:sz w:val="24"/>
        </w:rPr>
        <w:t>2、评标委员会在对实质上响应招标文件要求的投标进行报价清标时，将按下述原则进行修正：</w:t>
      </w:r>
    </w:p>
    <w:p>
      <w:pPr>
        <w:pStyle w:val="19"/>
        <w:adjustRightInd w:val="0"/>
        <w:snapToGrid w:val="0"/>
        <w:spacing w:line="360" w:lineRule="auto"/>
        <w:rPr>
          <w:snapToGrid w:val="0"/>
          <w:sz w:val="24"/>
        </w:rPr>
      </w:pPr>
      <w:r>
        <w:rPr>
          <w:rFonts w:hint="eastAsia"/>
          <w:snapToGrid w:val="0"/>
          <w:sz w:val="24"/>
        </w:rPr>
        <w:t>（1）用数字表示的数额与用文字表示的数额不一致时，以文字数额为准；</w:t>
      </w:r>
    </w:p>
    <w:p>
      <w:pPr>
        <w:pStyle w:val="19"/>
        <w:adjustRightInd w:val="0"/>
        <w:snapToGrid w:val="0"/>
        <w:spacing w:line="360" w:lineRule="auto"/>
        <w:rPr>
          <w:snapToGrid w:val="0"/>
          <w:sz w:val="24"/>
        </w:rPr>
      </w:pPr>
      <w:r>
        <w:rPr>
          <w:rFonts w:hint="eastAsia"/>
          <w:snapToGrid w:val="0"/>
          <w:sz w:val="24"/>
        </w:rPr>
        <w:t>（2）单价与工程量的乘积与总价之间不一致时，以单价为准。若单价有明显的小数点错位，应以总价为准，并修改单价。</w:t>
      </w:r>
    </w:p>
    <w:p>
      <w:pPr>
        <w:pStyle w:val="19"/>
        <w:adjustRightInd w:val="0"/>
        <w:snapToGrid w:val="0"/>
        <w:spacing w:line="360" w:lineRule="auto"/>
        <w:rPr>
          <w:snapToGrid w:val="0"/>
          <w:sz w:val="24"/>
        </w:rPr>
      </w:pPr>
      <w:r>
        <w:rPr>
          <w:rFonts w:hint="eastAsia"/>
          <w:snapToGrid w:val="0"/>
          <w:sz w:val="24"/>
        </w:rPr>
        <w:t>按前款规定调整后的报价经投标人确认后产生约束力。</w:t>
      </w:r>
    </w:p>
    <w:p>
      <w:pPr>
        <w:pStyle w:val="19"/>
        <w:adjustRightInd w:val="0"/>
        <w:snapToGrid w:val="0"/>
        <w:spacing w:line="360" w:lineRule="auto"/>
        <w:rPr>
          <w:snapToGrid w:val="0"/>
          <w:sz w:val="24"/>
        </w:rPr>
      </w:pPr>
      <w:r>
        <w:rPr>
          <w:rFonts w:hint="eastAsia"/>
          <w:snapToGrid w:val="0"/>
          <w:sz w:val="24"/>
        </w:rPr>
        <w:t>投标文件中没有列入的价格在评标时不予考虑,视认为已含在其他项目费用中。</w:t>
      </w:r>
    </w:p>
    <w:p>
      <w:pPr>
        <w:pStyle w:val="19"/>
        <w:adjustRightInd w:val="0"/>
        <w:snapToGrid w:val="0"/>
        <w:spacing w:line="360" w:lineRule="auto"/>
        <w:rPr>
          <w:snapToGrid w:val="0"/>
          <w:sz w:val="24"/>
        </w:rPr>
      </w:pPr>
      <w:r>
        <w:rPr>
          <w:rFonts w:hint="eastAsia"/>
          <w:snapToGrid w:val="0"/>
          <w:sz w:val="24"/>
        </w:rPr>
        <w:t>（十七）在评标过程中，评标委员会若发现投标人以他人的名义投标、串通投标、以行贿手段谋取中标或者以其他弄虚作假方式投标的，该投标人的投标将作废标处理。</w:t>
      </w:r>
    </w:p>
    <w:p>
      <w:pPr>
        <w:pStyle w:val="19"/>
        <w:adjustRightInd w:val="0"/>
        <w:snapToGrid w:val="0"/>
        <w:spacing w:line="360" w:lineRule="auto"/>
        <w:rPr>
          <w:snapToGrid w:val="0"/>
          <w:sz w:val="24"/>
        </w:rPr>
      </w:pPr>
      <w:r>
        <w:rPr>
          <w:rFonts w:hint="eastAsia"/>
          <w:snapToGrid w:val="0"/>
          <w:sz w:val="24"/>
        </w:rPr>
        <w:t>（十八）在评标过程中，评标委员会若发现投标人的报价明显低于其他投标报价，使得其投标报价可能低于其个别成本的，将要求该投标人作出书面说明并提供相关证明材料。投标人不能合理说明或者不能提供相关证明材料的，由评标委员会认定该投标人以低于成本报价竞标，其投标将作废标处理。</w:t>
      </w:r>
    </w:p>
    <w:p>
      <w:pPr>
        <w:pStyle w:val="19"/>
        <w:adjustRightInd w:val="0"/>
        <w:snapToGrid w:val="0"/>
        <w:spacing w:line="360" w:lineRule="auto"/>
        <w:rPr>
          <w:snapToGrid w:val="0"/>
          <w:sz w:val="24"/>
        </w:rPr>
      </w:pPr>
      <w:r>
        <w:rPr>
          <w:rFonts w:hint="eastAsia"/>
          <w:snapToGrid w:val="0"/>
          <w:sz w:val="24"/>
        </w:rPr>
        <w:t>（十九）投标人资格条件不符合国家有关规定和招标文件要求的，或者拒不按照要求对投标文件进行澄清、说明或者补正的，评标委员会可以否决其投标。</w:t>
      </w:r>
    </w:p>
    <w:p>
      <w:pPr>
        <w:pStyle w:val="19"/>
        <w:adjustRightInd w:val="0"/>
        <w:snapToGrid w:val="0"/>
        <w:spacing w:line="360" w:lineRule="auto"/>
        <w:rPr>
          <w:snapToGrid w:val="0"/>
          <w:sz w:val="24"/>
        </w:rPr>
      </w:pPr>
      <w:r>
        <w:rPr>
          <w:rFonts w:hint="eastAsia"/>
          <w:snapToGrid w:val="0"/>
          <w:sz w:val="24"/>
        </w:rPr>
        <w:t>（二十）评标委员会将审查每一投标文件是否对招标文件提出的所有实质性要求和条件作出响应。未能在实质上响应的投标，将作废标处理。(实质性:施工工期、工程质量、投标报价应符合招标文件要求、针对本工程的施工方案应以图示或文字表示)</w:t>
      </w:r>
    </w:p>
    <w:p>
      <w:pPr>
        <w:pStyle w:val="19"/>
        <w:adjustRightInd w:val="0"/>
        <w:snapToGrid w:val="0"/>
        <w:spacing w:line="360" w:lineRule="auto"/>
        <w:rPr>
          <w:snapToGrid w:val="0"/>
          <w:sz w:val="24"/>
        </w:rPr>
      </w:pPr>
      <w:r>
        <w:rPr>
          <w:rFonts w:hint="eastAsia"/>
          <w:snapToGrid w:val="0"/>
          <w:sz w:val="24"/>
        </w:rPr>
        <w:t>（二十一）投标文件有下述情形之一的，属于重大偏差，视为未能对招标文件作出实质性响应，并按前条规定作废标处理：</w:t>
      </w:r>
    </w:p>
    <w:p>
      <w:pPr>
        <w:pStyle w:val="19"/>
        <w:adjustRightInd w:val="0"/>
        <w:snapToGrid w:val="0"/>
        <w:spacing w:line="360" w:lineRule="auto"/>
        <w:ind w:firstLine="560"/>
        <w:rPr>
          <w:b/>
          <w:snapToGrid w:val="0"/>
          <w:sz w:val="24"/>
        </w:rPr>
      </w:pPr>
      <w:r>
        <w:rPr>
          <w:rFonts w:hint="eastAsia"/>
          <w:b/>
          <w:snapToGrid w:val="0"/>
          <w:sz w:val="24"/>
        </w:rPr>
        <w:t>1、</w:t>
      </w:r>
      <w:r>
        <w:rPr>
          <w:rFonts w:hint="eastAsia"/>
          <w:b/>
          <w:snapToGrid w:val="0"/>
          <w:sz w:val="24"/>
          <w:u w:val="single"/>
        </w:rPr>
        <w:t>没有按照招标文件要求提供投标担保或者所提供的投标担保有瑕疵</w:t>
      </w:r>
      <w:r>
        <w:rPr>
          <w:rFonts w:hint="eastAsia"/>
          <w:b/>
          <w:snapToGrid w:val="0"/>
          <w:sz w:val="24"/>
        </w:rPr>
        <w:t>；</w:t>
      </w:r>
    </w:p>
    <w:p>
      <w:pPr>
        <w:pStyle w:val="19"/>
        <w:adjustRightInd w:val="0"/>
        <w:snapToGrid w:val="0"/>
        <w:spacing w:line="360" w:lineRule="auto"/>
        <w:ind w:firstLine="560"/>
        <w:rPr>
          <w:b/>
          <w:snapToGrid w:val="0"/>
          <w:sz w:val="24"/>
        </w:rPr>
      </w:pPr>
      <w:r>
        <w:rPr>
          <w:rFonts w:hint="eastAsia"/>
          <w:b/>
          <w:snapToGrid w:val="0"/>
          <w:sz w:val="24"/>
        </w:rPr>
        <w:t>2、</w:t>
      </w:r>
      <w:r>
        <w:rPr>
          <w:rFonts w:hint="eastAsia"/>
          <w:b/>
          <w:snapToGrid w:val="0"/>
          <w:sz w:val="24"/>
          <w:u w:val="single"/>
        </w:rPr>
        <w:t>提交的投标文件正、副本份数不符合招标文件要求的</w:t>
      </w:r>
      <w:r>
        <w:rPr>
          <w:rFonts w:hint="eastAsia"/>
          <w:b/>
          <w:snapToGrid w:val="0"/>
          <w:sz w:val="24"/>
        </w:rPr>
        <w:t>；</w:t>
      </w:r>
    </w:p>
    <w:p>
      <w:pPr>
        <w:pStyle w:val="19"/>
        <w:adjustRightInd w:val="0"/>
        <w:snapToGrid w:val="0"/>
        <w:spacing w:line="360" w:lineRule="auto"/>
        <w:ind w:firstLine="560"/>
        <w:rPr>
          <w:b/>
          <w:snapToGrid w:val="0"/>
          <w:sz w:val="24"/>
        </w:rPr>
      </w:pPr>
      <w:r>
        <w:rPr>
          <w:rFonts w:hint="eastAsia"/>
          <w:b/>
          <w:snapToGrid w:val="0"/>
          <w:sz w:val="24"/>
        </w:rPr>
        <w:t>3、</w:t>
      </w:r>
      <w:r>
        <w:rPr>
          <w:rFonts w:hint="eastAsia"/>
          <w:b/>
          <w:snapToGrid w:val="0"/>
          <w:sz w:val="24"/>
          <w:u w:val="single"/>
        </w:rPr>
        <w:t>投标文件载明的招标项目完成期限超过招标文件规定的期限</w:t>
      </w:r>
      <w:r>
        <w:rPr>
          <w:rFonts w:hint="eastAsia"/>
          <w:b/>
          <w:snapToGrid w:val="0"/>
          <w:sz w:val="24"/>
        </w:rPr>
        <w:t>；</w:t>
      </w:r>
    </w:p>
    <w:p>
      <w:pPr>
        <w:pStyle w:val="19"/>
        <w:adjustRightInd w:val="0"/>
        <w:snapToGrid w:val="0"/>
        <w:spacing w:line="360" w:lineRule="auto"/>
        <w:ind w:left="567" w:firstLine="0"/>
        <w:rPr>
          <w:b/>
          <w:snapToGrid w:val="0"/>
          <w:sz w:val="24"/>
        </w:rPr>
      </w:pPr>
      <w:r>
        <w:rPr>
          <w:rFonts w:hint="eastAsia"/>
          <w:b/>
          <w:snapToGrid w:val="0"/>
          <w:sz w:val="24"/>
        </w:rPr>
        <w:t>4、</w:t>
      </w:r>
      <w:r>
        <w:rPr>
          <w:rFonts w:hint="eastAsia"/>
          <w:b/>
          <w:snapToGrid w:val="0"/>
          <w:sz w:val="24"/>
          <w:u w:val="single"/>
        </w:rPr>
        <w:t>明显不符合技术规格、技术标准的要求</w:t>
      </w:r>
      <w:r>
        <w:rPr>
          <w:rFonts w:hint="eastAsia"/>
          <w:b/>
          <w:snapToGrid w:val="0"/>
          <w:sz w:val="24"/>
        </w:rPr>
        <w:t>；</w:t>
      </w:r>
    </w:p>
    <w:p>
      <w:pPr>
        <w:pStyle w:val="19"/>
        <w:adjustRightInd w:val="0"/>
        <w:snapToGrid w:val="0"/>
        <w:spacing w:line="360" w:lineRule="auto"/>
        <w:ind w:firstLine="560"/>
        <w:rPr>
          <w:b/>
          <w:snapToGrid w:val="0"/>
          <w:sz w:val="24"/>
        </w:rPr>
      </w:pPr>
      <w:r>
        <w:rPr>
          <w:rFonts w:hint="eastAsia"/>
          <w:b/>
          <w:snapToGrid w:val="0"/>
          <w:sz w:val="24"/>
        </w:rPr>
        <w:t>5、</w:t>
      </w:r>
      <w:r>
        <w:rPr>
          <w:rFonts w:hint="eastAsia"/>
          <w:b/>
          <w:snapToGrid w:val="0"/>
          <w:sz w:val="24"/>
          <w:u w:val="single"/>
        </w:rPr>
        <w:t>投标文件载明的检验标准和方法等不符合招标文件的要求或已被废止的</w:t>
      </w:r>
      <w:r>
        <w:rPr>
          <w:rFonts w:hint="eastAsia"/>
          <w:b/>
          <w:snapToGrid w:val="0"/>
          <w:sz w:val="24"/>
        </w:rPr>
        <w:t>；</w:t>
      </w:r>
    </w:p>
    <w:p>
      <w:pPr>
        <w:pStyle w:val="19"/>
        <w:adjustRightInd w:val="0"/>
        <w:snapToGrid w:val="0"/>
        <w:spacing w:line="360" w:lineRule="auto"/>
        <w:ind w:firstLine="560"/>
        <w:rPr>
          <w:b/>
          <w:snapToGrid w:val="0"/>
          <w:sz w:val="24"/>
        </w:rPr>
      </w:pPr>
      <w:r>
        <w:rPr>
          <w:rFonts w:hint="eastAsia"/>
          <w:b/>
          <w:snapToGrid w:val="0"/>
          <w:sz w:val="24"/>
        </w:rPr>
        <w:t>6、</w:t>
      </w:r>
      <w:r>
        <w:rPr>
          <w:rFonts w:hint="eastAsia"/>
          <w:b/>
          <w:snapToGrid w:val="0"/>
          <w:sz w:val="24"/>
          <w:u w:val="single"/>
        </w:rPr>
        <w:t>改变招标文件规定的暂定价格或不可竞争费用的</w:t>
      </w:r>
      <w:r>
        <w:rPr>
          <w:rFonts w:hint="eastAsia"/>
          <w:b/>
          <w:snapToGrid w:val="0"/>
          <w:sz w:val="24"/>
        </w:rPr>
        <w:t>；</w:t>
      </w:r>
    </w:p>
    <w:p>
      <w:pPr>
        <w:pStyle w:val="19"/>
        <w:adjustRightInd w:val="0"/>
        <w:snapToGrid w:val="0"/>
        <w:spacing w:line="360" w:lineRule="auto"/>
        <w:ind w:firstLine="560"/>
        <w:rPr>
          <w:b/>
          <w:snapToGrid w:val="0"/>
          <w:sz w:val="24"/>
          <w:u w:val="single"/>
        </w:rPr>
      </w:pPr>
      <w:r>
        <w:rPr>
          <w:rFonts w:hint="eastAsia"/>
          <w:b/>
          <w:snapToGrid w:val="0"/>
          <w:sz w:val="24"/>
        </w:rPr>
        <w:t>7、</w:t>
      </w:r>
      <w:r>
        <w:rPr>
          <w:rFonts w:hint="eastAsia"/>
          <w:b/>
          <w:snapToGrid w:val="0"/>
          <w:sz w:val="24"/>
          <w:u w:val="single"/>
        </w:rPr>
        <w:t>投标报价超过招标文件规定的最高限价的</w:t>
      </w:r>
      <w:r>
        <w:rPr>
          <w:rFonts w:hint="eastAsia"/>
          <w:b/>
          <w:snapToGrid w:val="0"/>
          <w:sz w:val="24"/>
        </w:rPr>
        <w:t>；</w:t>
      </w:r>
    </w:p>
    <w:p>
      <w:pPr>
        <w:pStyle w:val="19"/>
        <w:adjustRightInd w:val="0"/>
        <w:snapToGrid w:val="0"/>
        <w:spacing w:line="360" w:lineRule="auto"/>
        <w:ind w:firstLine="560"/>
        <w:rPr>
          <w:b/>
          <w:snapToGrid w:val="0"/>
          <w:sz w:val="24"/>
        </w:rPr>
      </w:pPr>
      <w:r>
        <w:rPr>
          <w:rFonts w:hint="eastAsia"/>
          <w:b/>
          <w:snapToGrid w:val="0"/>
          <w:sz w:val="24"/>
        </w:rPr>
        <w:t>8、</w:t>
      </w:r>
      <w:r>
        <w:rPr>
          <w:rFonts w:hint="eastAsia"/>
          <w:b/>
          <w:snapToGrid w:val="0"/>
          <w:sz w:val="24"/>
          <w:u w:val="single"/>
        </w:rPr>
        <w:t>投标人资质、投标的项目经理及主要技术负责人等在通过资格预审后发生实质性变化的</w:t>
      </w:r>
      <w:r>
        <w:rPr>
          <w:rFonts w:hint="eastAsia"/>
          <w:b/>
          <w:snapToGrid w:val="0"/>
          <w:sz w:val="24"/>
        </w:rPr>
        <w:t>。</w:t>
      </w:r>
    </w:p>
    <w:p>
      <w:pPr>
        <w:pStyle w:val="19"/>
        <w:adjustRightInd w:val="0"/>
        <w:snapToGrid w:val="0"/>
        <w:spacing w:line="360" w:lineRule="auto"/>
        <w:ind w:firstLine="560"/>
        <w:rPr>
          <w:b/>
          <w:snapToGrid w:val="0"/>
          <w:sz w:val="24"/>
        </w:rPr>
      </w:pPr>
      <w:r>
        <w:rPr>
          <w:rFonts w:hint="eastAsia"/>
          <w:b/>
          <w:snapToGrid w:val="0"/>
          <w:sz w:val="24"/>
        </w:rPr>
        <w:t>9、</w:t>
      </w:r>
      <w:r>
        <w:rPr>
          <w:rFonts w:hint="eastAsia"/>
          <w:b/>
          <w:snapToGrid w:val="0"/>
          <w:sz w:val="24"/>
          <w:u w:val="single"/>
        </w:rPr>
        <w:t>不符合招标文件中规定的其他实质性要求（施工组织设计或者施工方案基本可行；投标报价不低于其成本）</w:t>
      </w:r>
      <w:r>
        <w:rPr>
          <w:rFonts w:hint="eastAsia"/>
          <w:b/>
          <w:snapToGrid w:val="0"/>
          <w:sz w:val="24"/>
        </w:rPr>
        <w:t>。</w:t>
      </w:r>
    </w:p>
    <w:p>
      <w:pPr>
        <w:pStyle w:val="19"/>
        <w:adjustRightInd w:val="0"/>
        <w:snapToGrid w:val="0"/>
        <w:spacing w:line="360" w:lineRule="auto"/>
        <w:ind w:firstLine="560"/>
        <w:rPr>
          <w:b/>
          <w:snapToGrid w:val="0"/>
          <w:sz w:val="24"/>
          <w:u w:val="single"/>
        </w:rPr>
      </w:pPr>
      <w:r>
        <w:rPr>
          <w:rFonts w:hint="eastAsia"/>
          <w:b/>
          <w:snapToGrid w:val="0"/>
          <w:sz w:val="24"/>
        </w:rPr>
        <w:t>10、</w:t>
      </w:r>
      <w:r>
        <w:rPr>
          <w:rFonts w:hint="eastAsia"/>
          <w:b/>
          <w:snapToGrid w:val="0"/>
          <w:sz w:val="24"/>
          <w:u w:val="single"/>
        </w:rPr>
        <w:t>无企业法人章并无法定代表人和法定代表人或授权的代理人签字或盖章的；</w:t>
      </w:r>
    </w:p>
    <w:p>
      <w:pPr>
        <w:pStyle w:val="19"/>
        <w:adjustRightInd w:val="0"/>
        <w:snapToGrid w:val="0"/>
        <w:spacing w:line="360" w:lineRule="auto"/>
        <w:ind w:firstLine="560"/>
        <w:rPr>
          <w:b/>
          <w:snapToGrid w:val="0"/>
          <w:sz w:val="24"/>
          <w:u w:val="single"/>
        </w:rPr>
      </w:pPr>
      <w:r>
        <w:rPr>
          <w:rFonts w:hint="eastAsia"/>
          <w:b/>
          <w:snapToGrid w:val="0"/>
          <w:sz w:val="24"/>
        </w:rPr>
        <w:t>11、</w:t>
      </w:r>
      <w:r>
        <w:rPr>
          <w:rFonts w:hint="eastAsia"/>
          <w:b/>
          <w:snapToGrid w:val="0"/>
          <w:sz w:val="24"/>
          <w:u w:val="single"/>
        </w:rPr>
        <w:t>未按规定填写，内容不全或关键字迹模糊、无法辨认的；</w:t>
      </w:r>
    </w:p>
    <w:p>
      <w:pPr>
        <w:pStyle w:val="19"/>
        <w:adjustRightInd w:val="0"/>
        <w:snapToGrid w:val="0"/>
        <w:spacing w:line="360" w:lineRule="auto"/>
        <w:ind w:firstLine="560"/>
        <w:rPr>
          <w:b/>
          <w:snapToGrid w:val="0"/>
          <w:sz w:val="24"/>
        </w:rPr>
      </w:pPr>
      <w:r>
        <w:rPr>
          <w:rFonts w:hint="eastAsia"/>
          <w:b/>
          <w:snapToGrid w:val="0"/>
          <w:sz w:val="24"/>
        </w:rPr>
        <w:t>12、</w:t>
      </w:r>
      <w:r>
        <w:rPr>
          <w:rFonts w:hint="eastAsia"/>
          <w:b/>
          <w:snapToGrid w:val="0"/>
          <w:sz w:val="24"/>
          <w:u w:val="single"/>
        </w:rPr>
        <w:t>投标人递交两份或多份内容不同的投标文件，或在一份投标文件中对同一招标项目报有两个或多个报价，且未声明哪一个有效，按招标文件规定提交备选投标方案的除外；</w:t>
      </w:r>
    </w:p>
    <w:p>
      <w:pPr>
        <w:pStyle w:val="19"/>
        <w:adjustRightInd w:val="0"/>
        <w:snapToGrid w:val="0"/>
        <w:spacing w:line="360" w:lineRule="auto"/>
        <w:ind w:firstLine="560"/>
        <w:rPr>
          <w:b/>
          <w:snapToGrid w:val="0"/>
          <w:sz w:val="24"/>
          <w:u w:val="single"/>
        </w:rPr>
      </w:pPr>
      <w:r>
        <w:rPr>
          <w:rFonts w:hint="eastAsia"/>
          <w:b/>
          <w:snapToGrid w:val="0"/>
          <w:sz w:val="24"/>
        </w:rPr>
        <w:t>13、</w:t>
      </w:r>
      <w:r>
        <w:rPr>
          <w:rFonts w:hint="eastAsia"/>
          <w:b/>
          <w:snapToGrid w:val="0"/>
          <w:sz w:val="24"/>
          <w:u w:val="single"/>
        </w:rPr>
        <w:t>投标人名称或组织结构与资格预审时的投标人不一致的；</w:t>
      </w:r>
    </w:p>
    <w:p>
      <w:pPr>
        <w:tabs>
          <w:tab w:val="left" w:pos="0"/>
          <w:tab w:val="left" w:pos="1134"/>
        </w:tabs>
        <w:adjustRightInd w:val="0"/>
        <w:snapToGrid w:val="0"/>
        <w:spacing w:line="360" w:lineRule="auto"/>
        <w:ind w:firstLine="482" w:firstLineChars="200"/>
        <w:rPr>
          <w:rFonts w:ascii="宋体" w:hAnsi="宋体"/>
          <w:b/>
          <w:snapToGrid w:val="0"/>
          <w:sz w:val="24"/>
        </w:rPr>
      </w:pPr>
      <w:r>
        <w:rPr>
          <w:rFonts w:hint="eastAsia" w:ascii="宋体" w:hAnsi="宋体"/>
          <w:b/>
          <w:snapToGrid w:val="0"/>
          <w:sz w:val="24"/>
        </w:rPr>
        <w:t>除上述条款外，其它不作为废标处理。</w:t>
      </w:r>
    </w:p>
    <w:p>
      <w:pPr>
        <w:tabs>
          <w:tab w:val="left" w:pos="0"/>
          <w:tab w:val="left" w:pos="1134"/>
        </w:tabs>
        <w:adjustRightInd w:val="0"/>
        <w:snapToGrid w:val="0"/>
        <w:spacing w:line="360" w:lineRule="auto"/>
        <w:rPr>
          <w:rFonts w:ascii="宋体" w:hAnsi="宋体"/>
          <w:snapToGrid w:val="0"/>
        </w:rPr>
      </w:pPr>
      <w:r>
        <w:rPr>
          <w:rFonts w:hint="eastAsia" w:ascii="宋体" w:hAnsi="宋体" w:cs="宋体"/>
          <w:snapToGrid w:val="0"/>
        </w:rPr>
        <w:t></w:t>
      </w:r>
      <w:r>
        <w:rPr>
          <w:rFonts w:hint="eastAsia" w:ascii="宋体" w:hAnsi="宋体" w:cs="宋体"/>
          <w:snapToGrid w:val="0"/>
          <w:sz w:val="24"/>
        </w:rPr>
        <w:t>评标委员会根据规定否决不合格投标或者界定为废标后，因有效投标不足三个使得投标明显缺乏竞争的，评标委员会可以否决全部投标。所有投标被否决的，招标人依法重新招标</w:t>
      </w:r>
      <w:r>
        <w:rPr>
          <w:rFonts w:hint="eastAsia" w:ascii="宋体" w:hAnsi="宋体"/>
          <w:snapToGrid w:val="0"/>
        </w:rPr>
        <w:t>。</w:t>
      </w:r>
    </w:p>
    <w:p>
      <w:pPr>
        <w:pStyle w:val="19"/>
        <w:adjustRightInd w:val="0"/>
        <w:snapToGrid w:val="0"/>
        <w:spacing w:line="360" w:lineRule="auto"/>
        <w:rPr>
          <w:snapToGrid w:val="0"/>
          <w:sz w:val="24"/>
        </w:rPr>
      </w:pPr>
      <w:r>
        <w:rPr>
          <w:rFonts w:hint="eastAsia"/>
          <w:snapToGrid w:val="0"/>
          <w:sz w:val="24"/>
        </w:rPr>
        <w:t>（二十二）评标和定标将在投标有效期结束日30个工作日前完成。不能在投标有效期结束日30个工作日前完成评标和定标的，招标人将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招标人将给予补偿，但因不可抗力需延长投标有效期的除外。</w:t>
      </w:r>
    </w:p>
    <w:p>
      <w:pPr>
        <w:pStyle w:val="19"/>
        <w:adjustRightInd w:val="0"/>
        <w:snapToGrid w:val="0"/>
        <w:spacing w:line="360" w:lineRule="auto"/>
        <w:rPr>
          <w:snapToGrid w:val="0"/>
          <w:sz w:val="24"/>
        </w:rPr>
      </w:pPr>
    </w:p>
    <w:p>
      <w:pPr>
        <w:pStyle w:val="19"/>
        <w:adjustRightInd w:val="0"/>
        <w:snapToGrid w:val="0"/>
        <w:spacing w:line="360" w:lineRule="auto"/>
        <w:rPr>
          <w:snapToGrid w:val="0"/>
          <w:sz w:val="24"/>
        </w:rPr>
      </w:pPr>
    </w:p>
    <w:p>
      <w:pPr>
        <w:pStyle w:val="3"/>
        <w:jc w:val="center"/>
        <w:rPr>
          <w:rFonts w:ascii="黑体" w:hAnsi="黑体"/>
          <w:b w:val="0"/>
          <w:snapToGrid w:val="0"/>
          <w:sz w:val="28"/>
          <w:szCs w:val="28"/>
        </w:rPr>
      </w:pPr>
      <w:bookmarkStart w:id="12" w:name="_Toc24786"/>
      <w:r>
        <w:rPr>
          <w:rFonts w:hint="eastAsia" w:ascii="黑体" w:hAnsi="黑体"/>
          <w:b w:val="0"/>
          <w:snapToGrid w:val="0"/>
          <w:sz w:val="28"/>
          <w:szCs w:val="28"/>
        </w:rPr>
        <w:t>八、授  予  合  同</w:t>
      </w:r>
      <w:bookmarkEnd w:id="12"/>
    </w:p>
    <w:p>
      <w:pPr>
        <w:tabs>
          <w:tab w:val="left" w:pos="0"/>
          <w:tab w:val="left" w:pos="993"/>
          <w:tab w:val="left" w:pos="1134"/>
        </w:tabs>
        <w:adjustRightInd w:val="0"/>
        <w:snapToGrid w:val="0"/>
        <w:spacing w:line="360" w:lineRule="auto"/>
        <w:ind w:firstLine="567"/>
        <w:rPr>
          <w:rFonts w:ascii="宋体" w:hAnsi="宋体"/>
          <w:snapToGrid w:val="0"/>
          <w:sz w:val="24"/>
        </w:rPr>
      </w:pPr>
      <w:r>
        <w:rPr>
          <w:rFonts w:hint="eastAsia" w:ascii="宋体" w:hAnsi="宋体"/>
          <w:snapToGrid w:val="0"/>
          <w:sz w:val="24"/>
        </w:rPr>
        <w:t>（二十三）中标</w:t>
      </w:r>
    </w:p>
    <w:p>
      <w:pPr>
        <w:widowControl/>
        <w:numPr>
          <w:ilvl w:val="0"/>
          <w:numId w:val="10"/>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确定中标单位后，招标人向中标单位发出中标通知书，并同时将中标结果通知所有未中标的投标人。中标通知书将成为合同的组成部分。</w:t>
      </w:r>
    </w:p>
    <w:p>
      <w:pPr>
        <w:widowControl/>
        <w:numPr>
          <w:ilvl w:val="0"/>
          <w:numId w:val="10"/>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中标单位收到中标通知书后，应在</w:t>
      </w:r>
      <w:r>
        <w:rPr>
          <w:rFonts w:hint="eastAsia" w:ascii="宋体" w:hAnsi="宋体"/>
          <w:snapToGrid w:val="0"/>
          <w:sz w:val="24"/>
          <w:u w:val="single"/>
        </w:rPr>
        <w:t xml:space="preserve"> 30</w:t>
      </w:r>
      <w:r>
        <w:rPr>
          <w:rFonts w:hint="eastAsia" w:ascii="宋体" w:hAnsi="宋体"/>
          <w:snapToGrid w:val="0"/>
          <w:sz w:val="24"/>
        </w:rPr>
        <w:t>日内与招标人签订施工合同。中标人不与招标人订立合同的，投标保证金不予退还并取消其中标资格，给招标人造成的损失超过投标保证金数额的，应当对超过部分予以赔偿。</w:t>
      </w:r>
    </w:p>
    <w:p>
      <w:pPr>
        <w:tabs>
          <w:tab w:val="left" w:pos="0"/>
          <w:tab w:val="left" w:pos="1134"/>
        </w:tabs>
        <w:adjustRightInd w:val="0"/>
        <w:snapToGrid w:val="0"/>
        <w:spacing w:line="360" w:lineRule="auto"/>
        <w:ind w:firstLine="600" w:firstLineChars="250"/>
        <w:rPr>
          <w:rFonts w:ascii="宋体" w:hAnsi="宋体"/>
          <w:snapToGrid w:val="0"/>
          <w:sz w:val="24"/>
        </w:rPr>
      </w:pPr>
      <w:r>
        <w:rPr>
          <w:rFonts w:hint="eastAsia" w:ascii="宋体" w:hAnsi="宋体"/>
          <w:snapToGrid w:val="0"/>
          <w:sz w:val="24"/>
        </w:rPr>
        <w:t>（二十四）合同签订</w:t>
      </w:r>
    </w:p>
    <w:p>
      <w:pPr>
        <w:widowControl/>
        <w:numPr>
          <w:ilvl w:val="0"/>
          <w:numId w:val="11"/>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招标人与中标人将根据《中华人民共和国合同法》的规定，依据招标文件和投标文件签订施工合同。</w:t>
      </w:r>
    </w:p>
    <w:p>
      <w:pPr>
        <w:widowControl/>
        <w:numPr>
          <w:ilvl w:val="0"/>
          <w:numId w:val="11"/>
        </w:numPr>
        <w:tabs>
          <w:tab w:val="left" w:pos="0"/>
          <w:tab w:val="left" w:pos="1134"/>
        </w:tabs>
        <w:adjustRightInd w:val="0"/>
        <w:snapToGrid w:val="0"/>
        <w:spacing w:line="360" w:lineRule="auto"/>
        <w:ind w:left="0" w:firstLine="567"/>
        <w:rPr>
          <w:rFonts w:ascii="宋体" w:hAnsi="宋体"/>
          <w:snapToGrid w:val="0"/>
          <w:sz w:val="24"/>
        </w:rPr>
      </w:pPr>
      <w:r>
        <w:rPr>
          <w:rFonts w:hint="eastAsia" w:ascii="宋体" w:hAnsi="宋体"/>
          <w:snapToGrid w:val="0"/>
          <w:sz w:val="24"/>
        </w:rPr>
        <w:t>招标人与中标单位签订合同后</w:t>
      </w:r>
      <w:r>
        <w:rPr>
          <w:rFonts w:hint="eastAsia" w:ascii="宋体" w:hAnsi="宋体"/>
          <w:snapToGrid w:val="0"/>
          <w:sz w:val="24"/>
          <w:u w:val="single"/>
        </w:rPr>
        <w:t xml:space="preserve"> 5日</w:t>
      </w:r>
      <w:r>
        <w:rPr>
          <w:rFonts w:hint="eastAsia" w:ascii="宋体" w:hAnsi="宋体"/>
          <w:snapToGrid w:val="0"/>
          <w:sz w:val="24"/>
        </w:rPr>
        <w:t>内，招标代理公司将向中标人和未中标人退还投标保证金。</w:t>
      </w:r>
    </w:p>
    <w:p>
      <w:pPr>
        <w:pStyle w:val="3"/>
        <w:jc w:val="center"/>
        <w:rPr>
          <w:snapToGrid w:val="0"/>
        </w:rPr>
      </w:pPr>
      <w:r>
        <w:rPr>
          <w:rFonts w:hint="eastAsia"/>
          <w:snapToGrid w:val="0"/>
        </w:rPr>
        <w:br w:type="page"/>
      </w:r>
      <w:bookmarkStart w:id="13" w:name="_Toc22051"/>
      <w:r>
        <w:rPr>
          <w:rFonts w:hint="eastAsia"/>
          <w:snapToGrid w:val="0"/>
        </w:rPr>
        <w:t>第二章</w:t>
      </w:r>
      <w:bookmarkEnd w:id="13"/>
    </w:p>
    <w:p>
      <w:pPr>
        <w:pStyle w:val="3"/>
        <w:jc w:val="center"/>
        <w:rPr>
          <w:sz w:val="44"/>
          <w:szCs w:val="44"/>
        </w:rPr>
      </w:pPr>
      <w:bookmarkStart w:id="14" w:name="_Toc15417"/>
      <w:r>
        <w:rPr>
          <w:rFonts w:hint="eastAsia"/>
          <w:snapToGrid w:val="0"/>
        </w:rPr>
        <w:t>施工合同</w:t>
      </w:r>
      <w:bookmarkEnd w:id="14"/>
    </w:p>
    <w:p>
      <w:pPr>
        <w:jc w:val="left"/>
      </w:pPr>
      <w:r>
        <w:rPr>
          <w:rFonts w:hint="eastAsia"/>
        </w:rPr>
        <w:t>签约地：南京</w:t>
      </w:r>
    </w:p>
    <w:p>
      <w:pPr>
        <w:jc w:val="left"/>
      </w:pPr>
      <w:r>
        <w:rPr>
          <w:rFonts w:hint="eastAsia"/>
        </w:rPr>
        <w:t>合同编号：</w:t>
      </w:r>
    </w:p>
    <w:p>
      <w:pPr>
        <w:jc w:val="left"/>
      </w:pPr>
      <w:r>
        <w:rPr>
          <w:rFonts w:hint="eastAsia"/>
        </w:rPr>
        <w:t>签定日期：</w:t>
      </w:r>
    </w:p>
    <w:p>
      <w:pPr>
        <w:jc w:val="left"/>
        <w:rPr>
          <w:u w:val="words"/>
        </w:rPr>
      </w:pPr>
      <w:r>
        <w:rPr>
          <w:rFonts w:hint="eastAsia"/>
        </w:rPr>
        <w:t>甲方：江苏天泓汽车集团有限公司</w:t>
      </w:r>
      <w:r>
        <w:rPr>
          <w:rFonts w:hint="eastAsia"/>
          <w:lang w:val="en-US" w:eastAsia="zh-CN"/>
        </w:rPr>
        <w:t xml:space="preserve">                              </w:t>
      </w:r>
      <w:r>
        <w:rPr>
          <w:rFonts w:hint="eastAsia"/>
        </w:rPr>
        <w:t>电话：</w:t>
      </w:r>
      <w:r>
        <w:rPr>
          <w:u w:val="words"/>
        </w:rPr>
        <w:t>025-8</w:t>
      </w:r>
      <w:r>
        <w:rPr>
          <w:rFonts w:hint="eastAsia"/>
          <w:u w:val="words"/>
        </w:rPr>
        <w:t xml:space="preserve">5459020    </w:t>
      </w:r>
    </w:p>
    <w:p>
      <w:pPr>
        <w:jc w:val="left"/>
        <w:rPr>
          <w:u w:val="single"/>
        </w:rPr>
      </w:pPr>
      <w:r>
        <w:rPr>
          <w:rFonts w:hint="eastAsia"/>
        </w:rPr>
        <w:t>乙方：</w:t>
      </w:r>
      <w:r>
        <w:rPr>
          <w:rFonts w:hint="eastAsia"/>
          <w:lang w:val="en-US" w:eastAsia="zh-CN"/>
        </w:rPr>
        <w:t xml:space="preserve">                                                      </w:t>
      </w:r>
      <w:r>
        <w:rPr>
          <w:rFonts w:hint="eastAsia"/>
        </w:rPr>
        <w:t>电话：</w:t>
      </w:r>
    </w:p>
    <w:p>
      <w:pPr>
        <w:ind w:firstLine="420" w:firstLineChars="200"/>
        <w:jc w:val="left"/>
      </w:pPr>
      <w:r>
        <w:rPr>
          <w:rFonts w:hint="eastAsia"/>
        </w:rPr>
        <w:t>本合同文本是根据《中华人民共和国合同法》和有关法律规定制定，供双方当事人约定采用。</w:t>
      </w:r>
    </w:p>
    <w:p>
      <w:pPr>
        <w:jc w:val="left"/>
      </w:pPr>
      <w:r>
        <w:rPr>
          <w:rFonts w:hint="eastAsia"/>
        </w:rPr>
        <w:t>暖通系统是专业性较强的工程，合同的履约期长。为更好地维护双方当事人的合法权益，双方签定合同时力求内容具体、全面、严密。</w:t>
      </w:r>
    </w:p>
    <w:p>
      <w:pPr>
        <w:jc w:val="left"/>
      </w:pPr>
      <w:r>
        <w:rPr>
          <w:rFonts w:hint="eastAsia"/>
        </w:rPr>
        <w:t>经双方友好协商，就乙方向甲方中央空调安装之事达成以下协议。</w:t>
      </w:r>
    </w:p>
    <w:p>
      <w:pPr>
        <w:jc w:val="left"/>
        <w:rPr>
          <w:b/>
          <w:sz w:val="28"/>
        </w:rPr>
      </w:pPr>
      <w:r>
        <w:rPr>
          <w:rFonts w:hint="eastAsia"/>
          <w:b/>
          <w:sz w:val="28"/>
        </w:rPr>
        <w:t>一、双方确认的项目：</w:t>
      </w:r>
    </w:p>
    <w:p>
      <w:pPr>
        <w:ind w:firstLine="420" w:firstLineChars="200"/>
        <w:jc w:val="left"/>
        <w:rPr>
          <w:szCs w:val="21"/>
          <w:u w:val="single"/>
        </w:rPr>
      </w:pPr>
      <w:r>
        <w:rPr>
          <w:rFonts w:hint="eastAsia"/>
        </w:rPr>
        <w:t>工程名称：</w:t>
      </w:r>
    </w:p>
    <w:p>
      <w:pPr>
        <w:ind w:firstLine="420" w:firstLineChars="200"/>
        <w:jc w:val="left"/>
        <w:rPr>
          <w:szCs w:val="21"/>
        </w:rPr>
      </w:pPr>
      <w:r>
        <w:rPr>
          <w:rFonts w:hint="eastAsia"/>
          <w:szCs w:val="21"/>
        </w:rPr>
        <w:t>施工内容：</w:t>
      </w:r>
    </w:p>
    <w:p>
      <w:pPr>
        <w:jc w:val="left"/>
        <w:rPr>
          <w:b/>
          <w:sz w:val="28"/>
        </w:rPr>
      </w:pPr>
      <w:r>
        <w:rPr>
          <w:rFonts w:hint="eastAsia"/>
          <w:b/>
          <w:sz w:val="28"/>
        </w:rPr>
        <w:t>二、安装时间、地点：</w:t>
      </w:r>
    </w:p>
    <w:p>
      <w:pPr>
        <w:ind w:firstLine="420" w:firstLineChars="200"/>
        <w:jc w:val="left"/>
        <w:rPr>
          <w:u w:val="single"/>
        </w:rPr>
      </w:pPr>
      <w:r>
        <w:rPr>
          <w:rFonts w:hint="eastAsia"/>
        </w:rPr>
        <w:t>1、安装时间（工期）：</w:t>
      </w:r>
      <w:r>
        <w:rPr>
          <w:rFonts w:hint="eastAsia"/>
          <w:u w:val="single"/>
        </w:rPr>
        <w:t>合同签定后</w:t>
      </w:r>
      <w:r>
        <w:rPr>
          <w:rFonts w:hint="eastAsia"/>
          <w:u w:val="single"/>
          <w:lang w:val="en-US" w:eastAsia="zh-CN"/>
        </w:rPr>
        <w:t>3</w:t>
      </w:r>
      <w:r>
        <w:rPr>
          <w:rFonts w:hint="eastAsia"/>
          <w:u w:val="single"/>
        </w:rPr>
        <w:t>天内设备进场。在空调主机进场后</w:t>
      </w:r>
      <w:r>
        <w:rPr>
          <w:rFonts w:hint="eastAsia"/>
          <w:u w:val="single"/>
          <w:lang w:val="en-US" w:eastAsia="zh-CN"/>
        </w:rPr>
        <w:t>15</w:t>
      </w:r>
      <w:r>
        <w:rPr>
          <w:rFonts w:hint="eastAsia"/>
          <w:u w:val="single"/>
        </w:rPr>
        <w:t>天内完</w:t>
      </w:r>
    </w:p>
    <w:p>
      <w:pPr>
        <w:ind w:firstLine="420" w:firstLineChars="200"/>
        <w:jc w:val="left"/>
        <w:rPr>
          <w:u w:val="single"/>
        </w:rPr>
      </w:pPr>
      <w:r>
        <w:rPr>
          <w:rFonts w:hint="eastAsia"/>
          <w:u w:val="single"/>
        </w:rPr>
        <w:t>成总体安装，接用户调试通知后3日内调试结束。</w:t>
      </w:r>
    </w:p>
    <w:p>
      <w:pPr>
        <w:ind w:firstLine="420" w:firstLineChars="200"/>
        <w:jc w:val="left"/>
        <w:rPr>
          <w:sz w:val="24"/>
          <w:u w:val="single"/>
        </w:rPr>
      </w:pPr>
      <w:r>
        <w:rPr>
          <w:rFonts w:hint="eastAsia"/>
        </w:rPr>
        <w:t>2、工程地点：</w:t>
      </w:r>
    </w:p>
    <w:p>
      <w:pPr>
        <w:jc w:val="left"/>
        <w:rPr>
          <w:b/>
          <w:sz w:val="28"/>
        </w:rPr>
      </w:pPr>
      <w:r>
        <w:rPr>
          <w:rFonts w:hint="eastAsia"/>
          <w:b/>
          <w:sz w:val="28"/>
        </w:rPr>
        <w:t>三、工程总价格：</w:t>
      </w:r>
    </w:p>
    <w:p>
      <w:pPr>
        <w:ind w:firstLine="420" w:firstLineChars="200"/>
        <w:jc w:val="left"/>
      </w:pPr>
      <w:r>
        <w:rPr>
          <w:rFonts w:hint="eastAsia"/>
        </w:rPr>
        <w:t>为人民币</w:t>
      </w:r>
      <w:r>
        <w:rPr>
          <w:rFonts w:hint="eastAsia"/>
          <w:u w:val="words"/>
        </w:rPr>
        <w:t>(￥</w:t>
      </w:r>
      <w:r>
        <w:rPr>
          <w:rFonts w:hint="eastAsia"/>
          <w:u w:val="single"/>
        </w:rPr>
        <w:t>:</w:t>
      </w:r>
      <w:r>
        <w:rPr>
          <w:rFonts w:hint="eastAsia"/>
          <w:u w:val="single"/>
          <w:lang w:val="en-US" w:eastAsia="zh-CN"/>
        </w:rPr>
        <w:t xml:space="preserve">        </w:t>
      </w:r>
      <w:r>
        <w:rPr>
          <w:rFonts w:hint="eastAsia"/>
          <w:u w:val="words"/>
        </w:rPr>
        <w:t>元整)，以上合同价为含税价</w:t>
      </w:r>
    </w:p>
    <w:p>
      <w:pPr>
        <w:jc w:val="left"/>
        <w:rPr>
          <w:szCs w:val="21"/>
        </w:rPr>
      </w:pPr>
      <w:r>
        <w:rPr>
          <w:rFonts w:hint="eastAsia"/>
          <w:b/>
          <w:sz w:val="28"/>
        </w:rPr>
        <w:t>四、付款方式：</w:t>
      </w:r>
      <w:r>
        <w:rPr>
          <w:szCs w:val="21"/>
        </w:rPr>
        <w:t>乙方须提供11%增值税专用发票作为结算依据。   </w:t>
      </w:r>
    </w:p>
    <w:p>
      <w:pPr>
        <w:tabs>
          <w:tab w:val="left" w:pos="1002"/>
        </w:tabs>
        <w:snapToGrid w:val="0"/>
        <w:ind w:firstLine="420" w:firstLineChars="200"/>
        <w:jc w:val="left"/>
        <w:rPr>
          <w:szCs w:val="21"/>
        </w:rPr>
      </w:pPr>
      <w:r>
        <w:rPr>
          <w:rFonts w:hint="eastAsia"/>
          <w:szCs w:val="21"/>
        </w:rPr>
        <w:t>1、中央空调主机安装及调试完成，经甲方验收合格后</w:t>
      </w:r>
      <w:r>
        <w:rPr>
          <w:szCs w:val="21"/>
        </w:rPr>
        <w:t>，付至付至</w:t>
      </w:r>
      <w:r>
        <w:rPr>
          <w:rFonts w:hint="eastAsia"/>
          <w:szCs w:val="21"/>
        </w:rPr>
        <w:t>合同总</w:t>
      </w:r>
      <w:r>
        <w:rPr>
          <w:szCs w:val="21"/>
        </w:rPr>
        <w:t>价的</w:t>
      </w:r>
      <w:r>
        <w:rPr>
          <w:rFonts w:hint="eastAsia"/>
          <w:szCs w:val="21"/>
        </w:rPr>
        <w:t>97</w:t>
      </w:r>
      <w:r>
        <w:rPr>
          <w:szCs w:val="21"/>
        </w:rPr>
        <w:t>%</w:t>
      </w:r>
      <w:r>
        <w:rPr>
          <w:rFonts w:hint="eastAsia"/>
          <w:szCs w:val="21"/>
        </w:rPr>
        <w:t>。</w:t>
      </w:r>
    </w:p>
    <w:p>
      <w:pPr>
        <w:snapToGrid w:val="0"/>
        <w:ind w:firstLine="420" w:firstLineChars="200"/>
        <w:jc w:val="left"/>
        <w:rPr>
          <w:b/>
          <w:szCs w:val="21"/>
          <w:u w:val="single"/>
        </w:rPr>
      </w:pPr>
      <w:r>
        <w:rPr>
          <w:rFonts w:hint="eastAsia"/>
          <w:szCs w:val="21"/>
          <w:lang w:val="en-US" w:eastAsia="zh-CN"/>
        </w:rPr>
        <w:t>2</w:t>
      </w:r>
      <w:r>
        <w:rPr>
          <w:rFonts w:hint="eastAsia"/>
          <w:szCs w:val="21"/>
        </w:rPr>
        <w:t>、余留合同总价的3%为质量保修金，待年质保期满经甲方验收后一次性无息付清。</w:t>
      </w:r>
    </w:p>
    <w:p>
      <w:pPr>
        <w:jc w:val="left"/>
        <w:rPr>
          <w:b/>
          <w:sz w:val="28"/>
        </w:rPr>
      </w:pPr>
      <w:r>
        <w:rPr>
          <w:rFonts w:hint="eastAsia"/>
          <w:b/>
          <w:sz w:val="28"/>
        </w:rPr>
        <w:t>五、技术要求：</w:t>
      </w:r>
    </w:p>
    <w:p>
      <w:pPr>
        <w:ind w:firstLine="420" w:firstLineChars="200"/>
        <w:jc w:val="left"/>
      </w:pPr>
      <w:r>
        <w:rPr>
          <w:rFonts w:hint="eastAsia"/>
        </w:rPr>
        <w:t>安装技术要求应满足以下规范：</w:t>
      </w:r>
    </w:p>
    <w:p>
      <w:pPr>
        <w:ind w:firstLine="420" w:firstLineChars="200"/>
        <w:jc w:val="left"/>
      </w:pPr>
      <w:r>
        <w:rPr>
          <w:rFonts w:hint="eastAsia"/>
        </w:rPr>
        <w:t>《采暖通风及空气调节安装设计规范》（GBJ19-87）</w:t>
      </w:r>
    </w:p>
    <w:p>
      <w:pPr>
        <w:ind w:firstLine="420" w:firstLineChars="200"/>
        <w:jc w:val="left"/>
      </w:pPr>
      <w:r>
        <w:rPr>
          <w:rFonts w:hint="eastAsia"/>
        </w:rPr>
        <w:t>《实用供热空调设计手册》</w:t>
      </w:r>
    </w:p>
    <w:p>
      <w:pPr>
        <w:jc w:val="left"/>
        <w:rPr>
          <w:b/>
          <w:sz w:val="28"/>
        </w:rPr>
      </w:pPr>
      <w:r>
        <w:rPr>
          <w:rFonts w:hint="eastAsia"/>
          <w:b/>
          <w:sz w:val="28"/>
        </w:rPr>
        <w:t>六、安装内容：</w:t>
      </w:r>
    </w:p>
    <w:p>
      <w:pPr>
        <w:ind w:firstLine="420" w:firstLineChars="200"/>
        <w:jc w:val="left"/>
      </w:pPr>
      <w:r>
        <w:rPr>
          <w:rFonts w:hint="eastAsia"/>
        </w:rPr>
        <w:t>1、空调设备所需的安装材料。</w:t>
      </w:r>
    </w:p>
    <w:p>
      <w:pPr>
        <w:ind w:firstLine="420" w:firstLineChars="200"/>
        <w:jc w:val="left"/>
      </w:pPr>
      <w:r>
        <w:rPr>
          <w:rFonts w:hint="eastAsia"/>
        </w:rPr>
        <w:t>2、冷媒管、水管、通讯线、控制设备的安装和连接、室内外机的吊装安装。</w:t>
      </w:r>
    </w:p>
    <w:p>
      <w:pPr>
        <w:ind w:firstLine="420" w:firstLineChars="200"/>
        <w:jc w:val="left"/>
      </w:pPr>
      <w:r>
        <w:rPr>
          <w:rFonts w:hint="eastAsia"/>
        </w:rPr>
        <w:t>3、所安装设备的调试。</w:t>
      </w:r>
    </w:p>
    <w:p>
      <w:pPr>
        <w:ind w:firstLine="420" w:firstLineChars="200"/>
        <w:jc w:val="left"/>
      </w:pPr>
      <w:r>
        <w:rPr>
          <w:rFonts w:hint="eastAsia"/>
        </w:rPr>
        <w:t>4、安装过程中所有的报验工作。</w:t>
      </w:r>
    </w:p>
    <w:p>
      <w:pPr>
        <w:ind w:firstLine="420" w:firstLineChars="200"/>
        <w:jc w:val="left"/>
      </w:pPr>
      <w:r>
        <w:rPr>
          <w:rFonts w:hint="eastAsia"/>
        </w:rPr>
        <w:t>5、提供甲方所需的图纸和说明书等资料。</w:t>
      </w:r>
    </w:p>
    <w:p>
      <w:pPr>
        <w:jc w:val="left"/>
      </w:pPr>
    </w:p>
    <w:p>
      <w:pPr>
        <w:jc w:val="left"/>
        <w:rPr>
          <w:b/>
          <w:sz w:val="28"/>
        </w:rPr>
      </w:pPr>
      <w:r>
        <w:rPr>
          <w:rFonts w:hint="eastAsia"/>
          <w:b/>
          <w:sz w:val="28"/>
        </w:rPr>
        <w:t>七、保修期：</w:t>
      </w:r>
    </w:p>
    <w:p>
      <w:pPr>
        <w:ind w:firstLine="315" w:firstLineChars="150"/>
        <w:jc w:val="left"/>
      </w:pPr>
      <w:r>
        <w:rPr>
          <w:rFonts w:hint="eastAsia"/>
        </w:rPr>
        <w:t xml:space="preserve">  1、乙方安装完毕验收合格后，交付甲方验收报验单，验收报验单由甲方签字盖章生效，保修期</w:t>
      </w:r>
    </w:p>
    <w:p>
      <w:pPr>
        <w:jc w:val="left"/>
      </w:pPr>
      <w:r>
        <w:rPr>
          <w:rFonts w:hint="eastAsia"/>
        </w:rPr>
        <w:t>从验收合格之日起计算，</w:t>
      </w:r>
      <w:r>
        <w:rPr>
          <w:rFonts w:hint="eastAsia"/>
          <w:b/>
        </w:rPr>
        <w:t>保修期为年</w:t>
      </w:r>
      <w:r>
        <w:rPr>
          <w:rFonts w:hint="eastAsia"/>
        </w:rPr>
        <w:t>。</w:t>
      </w:r>
    </w:p>
    <w:p>
      <w:pPr>
        <w:ind w:firstLine="315" w:firstLineChars="150"/>
        <w:jc w:val="left"/>
      </w:pPr>
      <w:r>
        <w:rPr>
          <w:rFonts w:hint="eastAsia"/>
        </w:rPr>
        <w:t xml:space="preserve">  2、保修内容：</w:t>
      </w:r>
    </w:p>
    <w:p>
      <w:pPr>
        <w:jc w:val="left"/>
      </w:pPr>
      <w:r>
        <w:rPr>
          <w:rFonts w:hint="eastAsia"/>
        </w:rPr>
        <w:t>（1）所有乙方所提供的主机和辅助材料。</w:t>
      </w:r>
    </w:p>
    <w:p>
      <w:pPr>
        <w:jc w:val="left"/>
      </w:pPr>
      <w:r>
        <w:rPr>
          <w:rFonts w:hint="eastAsia"/>
        </w:rPr>
        <w:t>（2）其它非客户使用不当所产生的故障。</w:t>
      </w:r>
    </w:p>
    <w:p>
      <w:pPr>
        <w:jc w:val="left"/>
      </w:pPr>
      <w:r>
        <w:rPr>
          <w:rFonts w:hint="eastAsia"/>
        </w:rPr>
        <w:t xml:space="preserve">     3、以下内容乙方负责维修，但需收取材料费用：</w:t>
      </w:r>
    </w:p>
    <w:p>
      <w:pPr>
        <w:jc w:val="left"/>
      </w:pPr>
      <w:r>
        <w:rPr>
          <w:rFonts w:hint="eastAsia"/>
        </w:rPr>
        <w:t>（1）因其它施工队所造成的空调系统的损坏。</w:t>
      </w:r>
    </w:p>
    <w:p>
      <w:pPr>
        <w:jc w:val="left"/>
      </w:pPr>
      <w:r>
        <w:rPr>
          <w:rFonts w:hint="eastAsia"/>
        </w:rPr>
        <w:t>（2）因客户使用不当所造成的系统损坏。</w:t>
      </w:r>
    </w:p>
    <w:p>
      <w:pPr>
        <w:jc w:val="left"/>
      </w:pPr>
      <w:r>
        <w:rPr>
          <w:rFonts w:hint="eastAsia"/>
        </w:rPr>
        <w:t>（3）因自然灾害造成的设备故障。</w:t>
      </w:r>
    </w:p>
    <w:p>
      <w:pPr>
        <w:jc w:val="left"/>
        <w:rPr>
          <w:b/>
          <w:sz w:val="28"/>
        </w:rPr>
      </w:pPr>
      <w:r>
        <w:rPr>
          <w:rFonts w:hint="eastAsia"/>
          <w:b/>
          <w:sz w:val="28"/>
        </w:rPr>
        <w:t>八、纠纷处理方法：</w:t>
      </w:r>
    </w:p>
    <w:p>
      <w:pPr>
        <w:ind w:firstLine="420" w:firstLineChars="200"/>
        <w:jc w:val="left"/>
      </w:pPr>
      <w:r>
        <w:rPr>
          <w:rFonts w:hint="eastAsia"/>
        </w:rPr>
        <w:t>本合同履行期间，双方发生争议时，应通过友好协商解决。若协商不成，按《中华人民共和国合同法》解决。</w:t>
      </w:r>
    </w:p>
    <w:p>
      <w:pPr>
        <w:jc w:val="left"/>
        <w:rPr>
          <w:b/>
          <w:sz w:val="28"/>
        </w:rPr>
      </w:pPr>
      <w:r>
        <w:rPr>
          <w:rFonts w:hint="eastAsia"/>
          <w:b/>
          <w:sz w:val="28"/>
        </w:rPr>
        <w:t>九、违约责任：</w:t>
      </w:r>
    </w:p>
    <w:p>
      <w:pPr>
        <w:ind w:firstLine="420" w:firstLineChars="200"/>
        <w:jc w:val="left"/>
      </w:pPr>
      <w:r>
        <w:rPr>
          <w:rFonts w:hint="eastAsia"/>
        </w:rPr>
        <w:t>1、甲方无正当理由要求乙方中途退场时（除不可抗拒力外），应向乙方支付不低于货款30%的违约金。</w:t>
      </w:r>
    </w:p>
    <w:p>
      <w:pPr>
        <w:ind w:firstLine="420" w:firstLineChars="200"/>
        <w:jc w:val="left"/>
      </w:pPr>
      <w:r>
        <w:rPr>
          <w:rFonts w:hint="eastAsia"/>
        </w:rPr>
        <w:t>2、乙方在收取预付款后无正当理由不进场，以双倍预付款金额返还给甲方。</w:t>
      </w:r>
    </w:p>
    <w:p>
      <w:pPr>
        <w:ind w:firstLine="420" w:firstLineChars="200"/>
        <w:jc w:val="left"/>
      </w:pPr>
      <w:r>
        <w:rPr>
          <w:rFonts w:hint="eastAsia"/>
        </w:rPr>
        <w:t>3、双方未按合同规定交货或付款的，均按《中华人民共和国合同法》和中国人民银行贷款利息的规定办理。</w:t>
      </w:r>
    </w:p>
    <w:p>
      <w:pPr>
        <w:jc w:val="left"/>
        <w:rPr>
          <w:b/>
          <w:sz w:val="28"/>
        </w:rPr>
      </w:pPr>
      <w:r>
        <w:rPr>
          <w:rFonts w:hint="eastAsia"/>
          <w:b/>
          <w:sz w:val="28"/>
        </w:rPr>
        <w:t>十、合同副本及其它：</w:t>
      </w:r>
    </w:p>
    <w:p>
      <w:pPr>
        <w:ind w:firstLine="420" w:firstLineChars="200"/>
        <w:jc w:val="left"/>
      </w:pPr>
      <w:r>
        <w:rPr>
          <w:rFonts w:hint="eastAsia"/>
        </w:rPr>
        <w:t>1、合同一式两份，甲、乙双方各执一份。</w:t>
      </w:r>
    </w:p>
    <w:p>
      <w:pPr>
        <w:ind w:firstLine="420" w:firstLineChars="200"/>
        <w:jc w:val="left"/>
      </w:pPr>
      <w:r>
        <w:rPr>
          <w:rFonts w:hint="eastAsia"/>
        </w:rPr>
        <w:t>2、合同附件（报价表和设计图纸）具有和正本同样的效力。</w:t>
      </w:r>
    </w:p>
    <w:p>
      <w:pPr>
        <w:jc w:val="left"/>
        <w:rPr>
          <w:b/>
          <w:sz w:val="28"/>
        </w:rPr>
      </w:pPr>
      <w:r>
        <w:rPr>
          <w:rFonts w:hint="eastAsia"/>
          <w:b/>
          <w:sz w:val="28"/>
        </w:rPr>
        <w:t>十一、其它约定：</w:t>
      </w:r>
    </w:p>
    <w:p>
      <w:pPr>
        <w:ind w:firstLine="420" w:firstLineChars="200"/>
        <w:jc w:val="left"/>
      </w:pPr>
      <w:r>
        <w:rPr>
          <w:rFonts w:hint="eastAsia"/>
        </w:rPr>
        <w:t>1、乙方负责主机及末端设备到场后的现场就位等事宜。</w:t>
      </w:r>
    </w:p>
    <w:p>
      <w:pPr>
        <w:ind w:firstLine="420" w:firstLineChars="200"/>
        <w:jc w:val="left"/>
      </w:pPr>
      <w:r>
        <w:rPr>
          <w:rFonts w:hint="eastAsia"/>
        </w:rPr>
        <w:t>2、如果乙方在本工程施工中现场产生安全等事故与甲方无关。</w:t>
      </w:r>
    </w:p>
    <w:p>
      <w:pPr>
        <w:ind w:firstLine="420" w:firstLineChars="200"/>
        <w:jc w:val="left"/>
      </w:pPr>
      <w:r>
        <w:rPr>
          <w:rFonts w:hint="eastAsia"/>
        </w:rPr>
        <w:t>3、所有的机器设备及辅助材料必须是优质的，需提供产品质保书。</w:t>
      </w:r>
    </w:p>
    <w:p>
      <w:pPr>
        <w:ind w:firstLine="420" w:firstLineChars="200"/>
        <w:jc w:val="left"/>
      </w:pPr>
      <w:r>
        <w:rPr>
          <w:rFonts w:hint="eastAsia"/>
        </w:rPr>
        <w:t>4、由于乙方设计或估计不足的材料由乙方自行解决。</w:t>
      </w:r>
    </w:p>
    <w:p>
      <w:pPr>
        <w:ind w:firstLine="420" w:firstLineChars="200"/>
        <w:jc w:val="left"/>
      </w:pPr>
      <w:r>
        <w:rPr>
          <w:rFonts w:hint="eastAsia"/>
        </w:rPr>
        <w:t>5、合同价不含主机外部费用（电力增容费)，从设备（空调内，外机）到甲方电源箱的动力电源在施工过程中由甲方安排施工，乙方负责提供技术数据。</w:t>
      </w:r>
    </w:p>
    <w:p>
      <w:pPr>
        <w:ind w:firstLine="420" w:firstLineChars="200"/>
        <w:jc w:val="left"/>
      </w:pPr>
      <w:r>
        <w:rPr>
          <w:rFonts w:hint="eastAsia"/>
        </w:rPr>
        <w:t>6、乙方在施工过程不得损坏甲方房屋的主体结构。</w:t>
      </w:r>
    </w:p>
    <w:p>
      <w:pPr>
        <w:ind w:firstLine="420" w:firstLineChars="200"/>
        <w:jc w:val="left"/>
      </w:pPr>
      <w:r>
        <w:rPr>
          <w:rFonts w:hint="eastAsia"/>
        </w:rPr>
        <w:t>7、合同价为双方协商的含税价。</w:t>
      </w:r>
    </w:p>
    <w:p>
      <w:pPr>
        <w:jc w:val="left"/>
      </w:pPr>
    </w:p>
    <w:p>
      <w:pPr>
        <w:ind w:left="1050" w:hanging="1050" w:hangingChars="500"/>
        <w:jc w:val="left"/>
      </w:pPr>
    </w:p>
    <w:p>
      <w:pPr>
        <w:jc w:val="left"/>
        <w:rPr>
          <w:b/>
          <w:sz w:val="28"/>
        </w:rPr>
      </w:pPr>
    </w:p>
    <w:p>
      <w:pPr>
        <w:jc w:val="left"/>
      </w:pPr>
      <w:r>
        <w:rPr>
          <w:rFonts w:hint="eastAsia"/>
        </w:rPr>
        <w:t>甲方：乙方：</w:t>
      </w:r>
    </w:p>
    <w:p>
      <w:pPr>
        <w:jc w:val="left"/>
      </w:pPr>
      <w:r>
        <w:rPr>
          <w:rFonts w:hint="eastAsia"/>
        </w:rPr>
        <w:t>法定代表人或授权代理人签章：法定代表人或授权代理人签章：</w:t>
      </w:r>
    </w:p>
    <w:p>
      <w:pPr>
        <w:jc w:val="left"/>
      </w:pPr>
      <w:r>
        <w:rPr>
          <w:rFonts w:hint="eastAsia"/>
        </w:rPr>
        <w:t>签定日期：签定日期：</w:t>
      </w:r>
    </w:p>
    <w:p>
      <w:pPr>
        <w:ind w:firstLine="210" w:firstLineChars="100"/>
        <w:jc w:val="left"/>
      </w:pPr>
      <w:r>
        <w:rPr>
          <w:rFonts w:hint="eastAsia"/>
        </w:rPr>
        <w:t>公章：公章：</w:t>
      </w:r>
    </w:p>
    <w:p>
      <w:pPr>
        <w:jc w:val="left"/>
      </w:pPr>
      <w:r>
        <w:rPr>
          <w:rFonts w:hint="eastAsia"/>
        </w:rPr>
        <w:t>地址：地址：</w:t>
      </w:r>
    </w:p>
    <w:p>
      <w:pPr>
        <w:autoSpaceDE w:val="0"/>
        <w:autoSpaceDN w:val="0"/>
        <w:adjustRightInd w:val="0"/>
        <w:spacing w:line="360" w:lineRule="auto"/>
        <w:ind w:left="964" w:hanging="964"/>
        <w:rPr>
          <w:rFonts w:ascii="宋体"/>
          <w:kern w:val="0"/>
          <w:sz w:val="24"/>
        </w:rPr>
      </w:pPr>
      <w:r>
        <w:rPr>
          <w:rFonts w:hint="eastAsia"/>
        </w:rPr>
        <w:t>电话：电话：</w:t>
      </w:r>
    </w:p>
    <w:p>
      <w:pPr>
        <w:autoSpaceDE w:val="0"/>
        <w:autoSpaceDN w:val="0"/>
        <w:adjustRightInd w:val="0"/>
        <w:spacing w:line="360" w:lineRule="auto"/>
        <w:rPr>
          <w:rFonts w:ascii="宋体"/>
          <w:kern w:val="0"/>
          <w:sz w:val="24"/>
        </w:rPr>
      </w:pPr>
    </w:p>
    <w:p>
      <w:pPr>
        <w:autoSpaceDE w:val="0"/>
        <w:autoSpaceDN w:val="0"/>
        <w:adjustRightInd w:val="0"/>
        <w:spacing w:line="360" w:lineRule="auto"/>
        <w:rPr>
          <w:rFonts w:ascii="宋体"/>
          <w:kern w:val="0"/>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pStyle w:val="3"/>
        <w:jc w:val="center"/>
        <w:rPr>
          <w:rFonts w:ascii="黑体" w:hAnsi="黑体"/>
          <w:b w:val="0"/>
          <w:snapToGrid w:val="0"/>
          <w:sz w:val="28"/>
          <w:szCs w:val="28"/>
        </w:rPr>
        <w:sectPr>
          <w:pgSz w:w="11906" w:h="16838"/>
          <w:pgMar w:top="1246" w:right="1486" w:bottom="1440" w:left="1800" w:header="851" w:footer="992" w:gutter="0"/>
          <w:cols w:space="720" w:num="1"/>
          <w:docGrid w:type="lines" w:linePitch="312" w:charSpace="0"/>
        </w:sectPr>
      </w:pPr>
    </w:p>
    <w:p>
      <w:pPr>
        <w:pStyle w:val="3"/>
        <w:jc w:val="center"/>
        <w:rPr>
          <w:rFonts w:ascii="黑体" w:hAnsi="黑体"/>
          <w:b w:val="0"/>
          <w:snapToGrid w:val="0"/>
          <w:sz w:val="28"/>
          <w:szCs w:val="28"/>
        </w:rPr>
      </w:pPr>
      <w:bookmarkStart w:id="15" w:name="_Toc31883"/>
      <w:r>
        <w:rPr>
          <w:rFonts w:hint="eastAsia" w:ascii="黑体" w:hAnsi="黑体"/>
          <w:b w:val="0"/>
          <w:snapToGrid w:val="0"/>
          <w:sz w:val="28"/>
          <w:szCs w:val="28"/>
        </w:rPr>
        <w:t>工程质量保修书</w:t>
      </w:r>
      <w:bookmarkEnd w:id="15"/>
    </w:p>
    <w:p/>
    <w:p>
      <w:pPr>
        <w:adjustRightInd w:val="0"/>
        <w:snapToGrid w:val="0"/>
        <w:spacing w:line="360" w:lineRule="auto"/>
        <w:ind w:firstLine="560"/>
        <w:rPr>
          <w:rFonts w:ascii="宋体" w:hAnsi="宋体"/>
          <w:sz w:val="24"/>
          <w:u w:val="single"/>
        </w:rPr>
      </w:pPr>
      <w:r>
        <w:rPr>
          <w:rFonts w:hint="eastAsia" w:ascii="宋体" w:hAnsi="宋体"/>
          <w:sz w:val="24"/>
        </w:rPr>
        <w:t>发包人</w:t>
      </w:r>
      <w:r>
        <w:rPr>
          <w:rFonts w:ascii="宋体" w:hAnsi="宋体"/>
          <w:sz w:val="24"/>
        </w:rPr>
        <w:t>(</w:t>
      </w:r>
      <w:r>
        <w:rPr>
          <w:rFonts w:hint="eastAsia" w:ascii="宋体" w:hAnsi="宋体"/>
          <w:sz w:val="24"/>
        </w:rPr>
        <w:t>全称</w:t>
      </w:r>
      <w:r>
        <w:rPr>
          <w:rFonts w:ascii="宋体" w:hAnsi="宋体"/>
          <w:sz w:val="24"/>
        </w:rPr>
        <w:t xml:space="preserve">) </w:t>
      </w:r>
      <w:r>
        <w:rPr>
          <w:rFonts w:hint="eastAsia" w:ascii="宋体" w:hAnsi="宋体"/>
          <w:sz w:val="24"/>
        </w:rPr>
        <w:t>：</w:t>
      </w:r>
    </w:p>
    <w:p>
      <w:pPr>
        <w:adjustRightInd w:val="0"/>
        <w:snapToGrid w:val="0"/>
        <w:spacing w:line="360" w:lineRule="auto"/>
        <w:ind w:firstLine="560"/>
        <w:rPr>
          <w:rFonts w:ascii="宋体" w:hAnsi="宋体"/>
          <w:sz w:val="24"/>
          <w:u w:val="single"/>
        </w:rPr>
      </w:pPr>
      <w:r>
        <w:rPr>
          <w:rFonts w:hint="eastAsia" w:ascii="宋体" w:hAnsi="宋体"/>
          <w:sz w:val="24"/>
        </w:rPr>
        <w:t>承包人</w:t>
      </w:r>
      <w:r>
        <w:rPr>
          <w:rFonts w:ascii="宋体" w:hAnsi="宋体"/>
          <w:sz w:val="24"/>
        </w:rPr>
        <w:t>(</w:t>
      </w:r>
      <w:r>
        <w:rPr>
          <w:rFonts w:hint="eastAsia" w:ascii="宋体" w:hAnsi="宋体"/>
          <w:sz w:val="24"/>
        </w:rPr>
        <w:t>全称</w:t>
      </w:r>
      <w:r>
        <w:rPr>
          <w:rFonts w:ascii="宋体" w:hAnsi="宋体"/>
          <w:sz w:val="24"/>
        </w:rPr>
        <w:t xml:space="preserve">) </w:t>
      </w:r>
      <w:r>
        <w:rPr>
          <w:rFonts w:hint="eastAsia" w:ascii="宋体" w:hAnsi="宋体"/>
          <w:sz w:val="24"/>
        </w:rPr>
        <w:t>：</w:t>
      </w:r>
    </w:p>
    <w:p>
      <w:pPr>
        <w:adjustRightInd w:val="0"/>
        <w:snapToGrid w:val="0"/>
        <w:spacing w:line="360" w:lineRule="auto"/>
        <w:ind w:firstLine="560"/>
        <w:rPr>
          <w:rFonts w:ascii="宋体" w:hAnsi="宋体"/>
          <w:b/>
          <w:sz w:val="24"/>
          <w:u w:val="single"/>
        </w:rPr>
      </w:pPr>
      <w:r>
        <w:rPr>
          <w:rFonts w:hint="eastAsia" w:ascii="宋体" w:hAnsi="宋体"/>
          <w:sz w:val="24"/>
        </w:rPr>
        <w:t>为保证</w:t>
      </w:r>
      <w:r>
        <w:rPr>
          <w:rFonts w:hint="eastAsia" w:ascii="宋体" w:hAnsi="宋体"/>
          <w:bCs/>
          <w:sz w:val="24"/>
          <w:u w:val="single"/>
        </w:rPr>
        <w:t>工程</w:t>
      </w:r>
      <w:r>
        <w:rPr>
          <w:rFonts w:hint="eastAsia" w:ascii="宋体" w:hAnsi="宋体"/>
          <w:sz w:val="24"/>
        </w:rPr>
        <w:t>使用期限内正常使用，发包人承包人协商一致签订工程质量保修书。承包人在质量保修期内按照有关管理规定及双方约定承担工程质量保修责任。</w:t>
      </w:r>
    </w:p>
    <w:p>
      <w:pPr>
        <w:adjustRightInd w:val="0"/>
        <w:snapToGrid w:val="0"/>
        <w:spacing w:line="360" w:lineRule="auto"/>
        <w:rPr>
          <w:rFonts w:ascii="宋体" w:hAnsi="宋体"/>
          <w:sz w:val="24"/>
        </w:rPr>
      </w:pPr>
      <w:r>
        <w:rPr>
          <w:rFonts w:hint="eastAsia" w:ascii="宋体" w:hAnsi="宋体"/>
          <w:sz w:val="24"/>
        </w:rPr>
        <w:t>一、工程质量保修范围和内容</w:t>
      </w:r>
    </w:p>
    <w:p>
      <w:pPr>
        <w:adjustRightInd w:val="0"/>
        <w:snapToGrid w:val="0"/>
        <w:spacing w:line="360" w:lineRule="auto"/>
        <w:ind w:firstLine="560"/>
        <w:rPr>
          <w:rFonts w:ascii="宋体" w:hAnsi="宋体"/>
          <w:sz w:val="24"/>
        </w:rPr>
      </w:pPr>
      <w:r>
        <w:rPr>
          <w:rFonts w:hint="eastAsia" w:ascii="宋体" w:hAnsi="宋体"/>
          <w:sz w:val="24"/>
        </w:rPr>
        <w:t>质量保修范围：</w:t>
      </w:r>
      <w:r>
        <w:rPr>
          <w:rFonts w:hint="eastAsia" w:ascii="宋体" w:hAnsi="宋体"/>
          <w:sz w:val="24"/>
          <w:u w:val="single"/>
        </w:rPr>
        <w:t>全部施工承包的内容</w:t>
      </w:r>
    </w:p>
    <w:p>
      <w:pPr>
        <w:adjustRightInd w:val="0"/>
        <w:snapToGrid w:val="0"/>
        <w:spacing w:line="360" w:lineRule="auto"/>
        <w:rPr>
          <w:rFonts w:ascii="宋体" w:hAnsi="宋体"/>
          <w:sz w:val="24"/>
        </w:rPr>
      </w:pPr>
      <w:r>
        <w:rPr>
          <w:rFonts w:hint="eastAsia" w:ascii="宋体" w:hAnsi="宋体"/>
          <w:sz w:val="24"/>
        </w:rPr>
        <w:t>二、质量保修期</w:t>
      </w:r>
    </w:p>
    <w:p>
      <w:pPr>
        <w:adjustRightInd w:val="0"/>
        <w:snapToGrid w:val="0"/>
        <w:spacing w:line="360" w:lineRule="auto"/>
        <w:rPr>
          <w:rFonts w:ascii="宋体" w:hAnsi="宋体"/>
          <w:b/>
          <w:snapToGrid w:val="0"/>
          <w:sz w:val="24"/>
          <w:u w:val="single"/>
        </w:rPr>
      </w:pPr>
      <w:r>
        <w:rPr>
          <w:rFonts w:ascii="宋体" w:hAnsi="宋体"/>
          <w:snapToGrid w:val="0"/>
          <w:sz w:val="24"/>
        </w:rPr>
        <w:t>1.</w:t>
      </w:r>
      <w:r>
        <w:rPr>
          <w:rFonts w:hint="eastAsia" w:ascii="宋体" w:hAnsi="宋体"/>
          <w:snapToGrid w:val="0"/>
          <w:sz w:val="24"/>
        </w:rPr>
        <w:t>主体结构保修期从工程实际竣工之日算起，双方约定质量保修期</w:t>
      </w:r>
      <w:r>
        <w:rPr>
          <w:rFonts w:hint="eastAsia" w:ascii="宋体" w:hAnsi="宋体"/>
          <w:b/>
          <w:snapToGrid w:val="0"/>
          <w:sz w:val="24"/>
          <w:u w:val="single"/>
        </w:rPr>
        <w:t>为设计年限。</w:t>
      </w:r>
    </w:p>
    <w:p>
      <w:pPr>
        <w:adjustRightInd w:val="0"/>
        <w:snapToGrid w:val="0"/>
        <w:spacing w:line="360" w:lineRule="auto"/>
        <w:rPr>
          <w:rFonts w:ascii="宋体" w:hAnsi="宋体"/>
          <w:b/>
          <w:snapToGrid w:val="0"/>
          <w:sz w:val="24"/>
          <w:u w:val="single"/>
        </w:rPr>
      </w:pPr>
      <w:r>
        <w:rPr>
          <w:rFonts w:ascii="宋体" w:hAnsi="宋体"/>
          <w:snapToGrid w:val="0"/>
          <w:sz w:val="24"/>
        </w:rPr>
        <w:t>2.</w:t>
      </w:r>
      <w:r>
        <w:rPr>
          <w:rFonts w:hint="eastAsia" w:ascii="宋体" w:hAnsi="宋体"/>
          <w:snapToGrid w:val="0"/>
          <w:sz w:val="24"/>
        </w:rPr>
        <w:t>建筑装饰质量保修期从工程实际竣工之日算起，双方约定质量保修期</w:t>
      </w:r>
      <w:r>
        <w:rPr>
          <w:rFonts w:hint="eastAsia" w:ascii="宋体" w:hAnsi="宋体"/>
          <w:b/>
          <w:snapToGrid w:val="0"/>
          <w:sz w:val="24"/>
          <w:u w:val="single"/>
        </w:rPr>
        <w:t>为</w:t>
      </w:r>
      <w:r>
        <w:rPr>
          <w:rFonts w:ascii="宋体" w:hAnsi="宋体"/>
          <w:b/>
          <w:snapToGrid w:val="0"/>
          <w:sz w:val="24"/>
          <w:u w:val="single"/>
        </w:rPr>
        <w:t>2</w:t>
      </w:r>
      <w:r>
        <w:rPr>
          <w:rFonts w:hint="eastAsia" w:ascii="宋体" w:hAnsi="宋体"/>
          <w:b/>
          <w:snapToGrid w:val="0"/>
          <w:sz w:val="24"/>
          <w:u w:val="single"/>
        </w:rPr>
        <w:t>年。</w:t>
      </w:r>
    </w:p>
    <w:p>
      <w:pPr>
        <w:adjustRightInd w:val="0"/>
        <w:snapToGrid w:val="0"/>
        <w:spacing w:line="360" w:lineRule="auto"/>
        <w:rPr>
          <w:rFonts w:ascii="宋体" w:hAnsi="宋体"/>
          <w:b/>
          <w:snapToGrid w:val="0"/>
          <w:sz w:val="24"/>
          <w:u w:val="single"/>
        </w:rPr>
      </w:pPr>
      <w:r>
        <w:rPr>
          <w:rFonts w:ascii="宋体" w:hAnsi="宋体"/>
          <w:snapToGrid w:val="0"/>
          <w:sz w:val="24"/>
        </w:rPr>
        <w:t>3.</w:t>
      </w:r>
      <w:r>
        <w:rPr>
          <w:rFonts w:hint="eastAsia" w:ascii="宋体" w:hAnsi="宋体"/>
          <w:snapToGrid w:val="0"/>
          <w:sz w:val="24"/>
        </w:rPr>
        <w:t>屋面防水工程、有防水要求的卫生间、房间和外墙面的防渗漏</w:t>
      </w:r>
      <w:r>
        <w:rPr>
          <w:rFonts w:hint="eastAsia" w:ascii="宋体" w:hAnsi="宋体"/>
          <w:b/>
          <w:snapToGrid w:val="0"/>
          <w:sz w:val="24"/>
          <w:u w:val="single"/>
        </w:rPr>
        <w:t>为</w:t>
      </w:r>
      <w:r>
        <w:rPr>
          <w:rFonts w:ascii="宋体" w:hAnsi="宋体"/>
          <w:b/>
          <w:snapToGrid w:val="0"/>
          <w:sz w:val="24"/>
          <w:u w:val="single"/>
        </w:rPr>
        <w:t>5</w:t>
      </w:r>
      <w:r>
        <w:rPr>
          <w:rFonts w:hint="eastAsia" w:ascii="宋体" w:hAnsi="宋体"/>
          <w:b/>
          <w:snapToGrid w:val="0"/>
          <w:sz w:val="24"/>
          <w:u w:val="single"/>
        </w:rPr>
        <w:t>年。</w:t>
      </w:r>
    </w:p>
    <w:p>
      <w:pPr>
        <w:adjustRightInd w:val="0"/>
        <w:snapToGrid w:val="0"/>
        <w:spacing w:line="360" w:lineRule="auto"/>
        <w:rPr>
          <w:rFonts w:ascii="宋体" w:hAnsi="宋体"/>
          <w:b/>
          <w:snapToGrid w:val="0"/>
          <w:sz w:val="24"/>
          <w:u w:val="single"/>
        </w:rPr>
      </w:pPr>
      <w:r>
        <w:rPr>
          <w:rFonts w:ascii="宋体" w:hAnsi="宋体"/>
          <w:snapToGrid w:val="0"/>
          <w:sz w:val="24"/>
        </w:rPr>
        <w:t>4.</w:t>
      </w:r>
      <w:r>
        <w:rPr>
          <w:rFonts w:hint="eastAsia" w:ascii="宋体" w:hAnsi="宋体"/>
          <w:snapToGrid w:val="0"/>
          <w:sz w:val="24"/>
        </w:rPr>
        <w:t>供热与供冷系统</w:t>
      </w:r>
      <w:r>
        <w:rPr>
          <w:rFonts w:hint="eastAsia" w:ascii="宋体" w:hAnsi="宋体"/>
          <w:b/>
          <w:snapToGrid w:val="0"/>
          <w:sz w:val="24"/>
          <w:u w:val="single"/>
        </w:rPr>
        <w:t>为</w:t>
      </w:r>
      <w:r>
        <w:rPr>
          <w:rFonts w:hint="eastAsia" w:ascii="宋体" w:hAnsi="宋体"/>
          <w:b/>
          <w:snapToGrid w:val="0"/>
          <w:sz w:val="24"/>
          <w:u w:val="single"/>
          <w:lang w:val="en-US" w:eastAsia="zh-CN"/>
        </w:rPr>
        <w:t>2</w:t>
      </w:r>
      <w:r>
        <w:rPr>
          <w:rFonts w:hint="eastAsia" w:ascii="宋体" w:hAnsi="宋体"/>
          <w:b/>
          <w:snapToGrid w:val="0"/>
          <w:sz w:val="24"/>
          <w:u w:val="single"/>
        </w:rPr>
        <w:t>个采暖期、供冷期。</w:t>
      </w:r>
    </w:p>
    <w:p>
      <w:pPr>
        <w:adjustRightInd w:val="0"/>
        <w:snapToGrid w:val="0"/>
        <w:spacing w:line="360" w:lineRule="auto"/>
        <w:rPr>
          <w:rFonts w:ascii="宋体" w:hAnsi="宋体"/>
          <w:b/>
          <w:snapToGrid w:val="0"/>
          <w:sz w:val="24"/>
          <w:u w:val="single"/>
        </w:rPr>
      </w:pPr>
      <w:r>
        <w:rPr>
          <w:rFonts w:ascii="宋体" w:hAnsi="宋体"/>
          <w:snapToGrid w:val="0"/>
          <w:sz w:val="24"/>
        </w:rPr>
        <w:t>5.</w:t>
      </w:r>
      <w:r>
        <w:rPr>
          <w:rFonts w:hint="eastAsia" w:ascii="宋体" w:hAnsi="宋体"/>
          <w:snapToGrid w:val="0"/>
          <w:sz w:val="24"/>
        </w:rPr>
        <w:t>电气管线、给排水管道、设备安装工程</w:t>
      </w:r>
      <w:r>
        <w:rPr>
          <w:rFonts w:hint="eastAsia" w:ascii="宋体" w:hAnsi="宋体"/>
          <w:b/>
          <w:snapToGrid w:val="0"/>
          <w:sz w:val="24"/>
          <w:u w:val="single"/>
        </w:rPr>
        <w:t>为</w:t>
      </w:r>
      <w:r>
        <w:rPr>
          <w:rFonts w:ascii="宋体" w:hAnsi="宋体"/>
          <w:b/>
          <w:snapToGrid w:val="0"/>
          <w:sz w:val="24"/>
          <w:u w:val="single"/>
        </w:rPr>
        <w:t>2</w:t>
      </w:r>
      <w:r>
        <w:rPr>
          <w:rFonts w:hint="eastAsia" w:ascii="宋体" w:hAnsi="宋体"/>
          <w:b/>
          <w:snapToGrid w:val="0"/>
          <w:sz w:val="24"/>
          <w:u w:val="single"/>
        </w:rPr>
        <w:t>年。</w:t>
      </w:r>
    </w:p>
    <w:p>
      <w:pPr>
        <w:adjustRightInd w:val="0"/>
        <w:snapToGrid w:val="0"/>
        <w:spacing w:line="360" w:lineRule="auto"/>
        <w:rPr>
          <w:rFonts w:ascii="宋体" w:hAnsi="宋体"/>
          <w:b/>
          <w:snapToGrid w:val="0"/>
          <w:sz w:val="24"/>
          <w:u w:val="single"/>
        </w:rPr>
      </w:pPr>
      <w:r>
        <w:rPr>
          <w:rFonts w:ascii="宋体" w:hAnsi="宋体"/>
          <w:snapToGrid w:val="0"/>
          <w:sz w:val="24"/>
        </w:rPr>
        <w:t>6.</w:t>
      </w:r>
      <w:r>
        <w:rPr>
          <w:rFonts w:hint="eastAsia" w:ascii="宋体" w:hAnsi="宋体"/>
          <w:snapToGrid w:val="0"/>
          <w:sz w:val="24"/>
        </w:rPr>
        <w:t>市政工程</w:t>
      </w:r>
      <w:r>
        <w:rPr>
          <w:rFonts w:hint="eastAsia" w:ascii="宋体" w:hAnsi="宋体"/>
          <w:b/>
          <w:snapToGrid w:val="0"/>
          <w:sz w:val="24"/>
          <w:u w:val="single"/>
        </w:rPr>
        <w:t>为</w:t>
      </w:r>
      <w:r>
        <w:rPr>
          <w:rFonts w:ascii="宋体" w:hAnsi="宋体"/>
          <w:b/>
          <w:snapToGrid w:val="0"/>
          <w:sz w:val="24"/>
          <w:u w:val="single"/>
        </w:rPr>
        <w:t>1</w:t>
      </w:r>
      <w:r>
        <w:rPr>
          <w:rFonts w:hint="eastAsia" w:ascii="宋体" w:hAnsi="宋体"/>
          <w:b/>
          <w:snapToGrid w:val="0"/>
          <w:sz w:val="24"/>
          <w:u w:val="single"/>
        </w:rPr>
        <w:t>年</w:t>
      </w:r>
      <w:r>
        <w:rPr>
          <w:rFonts w:hint="eastAsia" w:ascii="宋体" w:hAnsi="宋体"/>
          <w:b/>
          <w:snapToGrid w:val="0"/>
          <w:sz w:val="24"/>
        </w:rPr>
        <w:t>。</w:t>
      </w:r>
    </w:p>
    <w:p>
      <w:pPr>
        <w:adjustRightInd w:val="0"/>
        <w:snapToGrid w:val="0"/>
        <w:spacing w:line="360" w:lineRule="auto"/>
        <w:rPr>
          <w:rFonts w:ascii="宋体" w:hAnsi="宋体"/>
          <w:b/>
          <w:sz w:val="24"/>
          <w:u w:val="single"/>
        </w:rPr>
      </w:pPr>
      <w:r>
        <w:rPr>
          <w:rFonts w:hint="eastAsia" w:ascii="宋体" w:hAnsi="宋体"/>
          <w:b/>
          <w:sz w:val="24"/>
          <w:u w:val="single"/>
        </w:rPr>
        <w:t>未及事项以国务院</w:t>
      </w:r>
      <w:r>
        <w:rPr>
          <w:rFonts w:ascii="宋体" w:hAnsi="宋体"/>
          <w:b/>
          <w:sz w:val="24"/>
          <w:u w:val="single"/>
        </w:rPr>
        <w:t>2000</w:t>
      </w:r>
      <w:r>
        <w:rPr>
          <w:rFonts w:hint="eastAsia" w:ascii="宋体" w:hAnsi="宋体"/>
          <w:b/>
          <w:sz w:val="24"/>
          <w:u w:val="single"/>
        </w:rPr>
        <w:t>年</w:t>
      </w:r>
      <w:r>
        <w:rPr>
          <w:rFonts w:ascii="宋体" w:hAnsi="宋体"/>
          <w:b/>
          <w:sz w:val="24"/>
          <w:u w:val="single"/>
        </w:rPr>
        <w:t>1</w:t>
      </w:r>
      <w:r>
        <w:rPr>
          <w:rFonts w:hint="eastAsia" w:ascii="宋体" w:hAnsi="宋体"/>
          <w:b/>
          <w:sz w:val="24"/>
          <w:u w:val="single"/>
        </w:rPr>
        <w:t>月</w:t>
      </w:r>
      <w:r>
        <w:rPr>
          <w:rFonts w:ascii="宋体" w:hAnsi="宋体"/>
          <w:b/>
          <w:sz w:val="24"/>
          <w:u w:val="single"/>
        </w:rPr>
        <w:t>30</w:t>
      </w:r>
      <w:r>
        <w:rPr>
          <w:rFonts w:hint="eastAsia" w:ascii="宋体" w:hAnsi="宋体"/>
          <w:b/>
          <w:sz w:val="24"/>
          <w:u w:val="single"/>
        </w:rPr>
        <w:t>日颁发的</w:t>
      </w:r>
      <w:r>
        <w:rPr>
          <w:rFonts w:ascii="宋体" w:hAnsi="宋体"/>
          <w:b/>
          <w:sz w:val="24"/>
          <w:u w:val="single"/>
        </w:rPr>
        <w:t>279</w:t>
      </w:r>
      <w:r>
        <w:rPr>
          <w:rFonts w:hint="eastAsia" w:ascii="宋体" w:hAnsi="宋体"/>
          <w:b/>
          <w:sz w:val="24"/>
          <w:u w:val="single"/>
        </w:rPr>
        <w:t>号令为准。</w:t>
      </w:r>
    </w:p>
    <w:p>
      <w:pPr>
        <w:adjustRightInd w:val="0"/>
        <w:snapToGrid w:val="0"/>
        <w:spacing w:line="360" w:lineRule="auto"/>
        <w:rPr>
          <w:rFonts w:ascii="宋体" w:hAnsi="宋体"/>
          <w:b/>
          <w:sz w:val="24"/>
          <w:u w:val="single"/>
        </w:rPr>
      </w:pPr>
      <w:r>
        <w:rPr>
          <w:rFonts w:ascii="宋体" w:hAnsi="宋体"/>
          <w:b/>
          <w:sz w:val="24"/>
        </w:rPr>
        <w:t>7.</w:t>
      </w:r>
      <w:r>
        <w:rPr>
          <w:rFonts w:hint="eastAsia" w:ascii="宋体" w:hAnsi="宋体"/>
          <w:b/>
          <w:sz w:val="24"/>
        </w:rPr>
        <w:t>本工程质量保修期为：</w:t>
      </w:r>
      <w:r>
        <w:rPr>
          <w:rFonts w:hint="eastAsia" w:ascii="宋体" w:hAnsi="宋体"/>
          <w:b/>
          <w:sz w:val="24"/>
          <w:u w:val="single"/>
          <w:lang w:val="en-US" w:eastAsia="zh-CN"/>
        </w:rPr>
        <w:t xml:space="preserve">   </w:t>
      </w:r>
      <w:r>
        <w:rPr>
          <w:rFonts w:hint="eastAsia" w:ascii="宋体" w:hAnsi="宋体"/>
          <w:b/>
          <w:sz w:val="24"/>
          <w:u w:val="none"/>
        </w:rPr>
        <w:t>年。</w:t>
      </w:r>
    </w:p>
    <w:p>
      <w:pPr>
        <w:adjustRightInd w:val="0"/>
        <w:snapToGrid w:val="0"/>
        <w:spacing w:line="360" w:lineRule="auto"/>
        <w:rPr>
          <w:rFonts w:ascii="宋体" w:hAnsi="宋体"/>
          <w:sz w:val="24"/>
        </w:rPr>
      </w:pPr>
      <w:r>
        <w:rPr>
          <w:rFonts w:hint="eastAsia" w:ascii="宋体" w:hAnsi="宋体"/>
          <w:sz w:val="24"/>
        </w:rPr>
        <w:t>三、质量保修责任</w:t>
      </w:r>
    </w:p>
    <w:p>
      <w:pPr>
        <w:adjustRightInd w:val="0"/>
        <w:snapToGrid w:val="0"/>
        <w:spacing w:line="360" w:lineRule="auto"/>
        <w:rPr>
          <w:rFonts w:ascii="宋体" w:hAnsi="宋体"/>
          <w:sz w:val="24"/>
        </w:rPr>
      </w:pPr>
      <w:r>
        <w:rPr>
          <w:rFonts w:ascii="宋体" w:hAnsi="宋体"/>
          <w:sz w:val="24"/>
        </w:rPr>
        <w:t>1.</w:t>
      </w:r>
      <w:r>
        <w:rPr>
          <w:rFonts w:hint="eastAsia" w:ascii="宋体" w:hAnsi="宋体"/>
          <w:sz w:val="24"/>
        </w:rPr>
        <w:t>属于保修范围和内容的项目，承包人应在接到修理通知之日后</w:t>
      </w:r>
      <w:r>
        <w:rPr>
          <w:rFonts w:ascii="宋体" w:hAnsi="宋体"/>
          <w:sz w:val="24"/>
          <w:u w:val="single"/>
        </w:rPr>
        <w:t>3</w:t>
      </w:r>
      <w:r>
        <w:rPr>
          <w:rFonts w:hint="eastAsia" w:ascii="宋体" w:hAnsi="宋体"/>
          <w:sz w:val="24"/>
        </w:rPr>
        <w:t>天内派人修理。承包人不在约定期限内，派人修理，发包人可委托其他人员修理，保修费用从质量保修金内扣除。</w:t>
      </w:r>
    </w:p>
    <w:p>
      <w:pPr>
        <w:adjustRightInd w:val="0"/>
        <w:snapToGrid w:val="0"/>
        <w:spacing w:line="360" w:lineRule="auto"/>
        <w:rPr>
          <w:rFonts w:ascii="宋体" w:hAnsi="宋体"/>
          <w:sz w:val="24"/>
        </w:rPr>
      </w:pPr>
      <w:r>
        <w:rPr>
          <w:rFonts w:ascii="宋体" w:hAnsi="宋体"/>
          <w:sz w:val="24"/>
        </w:rPr>
        <w:t>2.</w:t>
      </w:r>
      <w:r>
        <w:rPr>
          <w:rFonts w:hint="eastAsia" w:ascii="宋体" w:hAnsi="宋体"/>
          <w:sz w:val="24"/>
        </w:rPr>
        <w:t>发生须紧急抢修事故，承包人接到事故通知后，应立即到达事故现场抢修。非承包人施工质量引起的事故，抢修费用由发包人承担。</w:t>
      </w:r>
    </w:p>
    <w:p>
      <w:pPr>
        <w:adjustRightInd w:val="0"/>
        <w:snapToGrid w:val="0"/>
        <w:spacing w:line="360" w:lineRule="auto"/>
        <w:rPr>
          <w:rFonts w:ascii="宋体" w:hAnsi="宋体"/>
          <w:sz w:val="24"/>
        </w:rPr>
      </w:pPr>
      <w:r>
        <w:rPr>
          <w:rFonts w:ascii="宋体" w:hAnsi="宋体"/>
          <w:sz w:val="24"/>
        </w:rPr>
        <w:t>3.</w:t>
      </w:r>
      <w:r>
        <w:rPr>
          <w:rFonts w:hint="eastAsia" w:ascii="宋体" w:hAnsi="宋体"/>
          <w:sz w:val="24"/>
        </w:rPr>
        <w:t>在国家规定的工程合理使用期限内，因承包人原因致使工程在合理使用期限内造成人身和财产损害的，承包人应承担损害赔偿责任。</w:t>
      </w:r>
    </w:p>
    <w:p>
      <w:pPr>
        <w:adjustRightInd w:val="0"/>
        <w:snapToGrid w:val="0"/>
        <w:spacing w:line="360" w:lineRule="auto"/>
        <w:rPr>
          <w:rFonts w:ascii="宋体" w:hAnsi="宋体"/>
          <w:sz w:val="24"/>
        </w:rPr>
      </w:pPr>
      <w:r>
        <w:rPr>
          <w:rFonts w:hint="eastAsia" w:ascii="宋体" w:hAnsi="宋体"/>
          <w:sz w:val="24"/>
        </w:rPr>
        <w:t>四、质量保修金的支付</w:t>
      </w:r>
    </w:p>
    <w:p>
      <w:pPr>
        <w:adjustRightInd w:val="0"/>
        <w:snapToGrid w:val="0"/>
        <w:spacing w:line="360" w:lineRule="auto"/>
        <w:rPr>
          <w:rFonts w:ascii="宋体" w:hAnsi="宋体"/>
          <w:sz w:val="24"/>
        </w:rPr>
      </w:pPr>
      <w:r>
        <w:rPr>
          <w:rFonts w:hint="eastAsia" w:ascii="宋体" w:hAnsi="宋体"/>
          <w:sz w:val="24"/>
        </w:rPr>
        <w:t>本工程约定的工程质量保修金</w:t>
      </w:r>
      <w:r>
        <w:rPr>
          <w:rFonts w:hint="eastAsia" w:ascii="宋体" w:hAnsi="宋体"/>
          <w:sz w:val="24"/>
          <w:u w:val="single"/>
        </w:rPr>
        <w:t>按照合同约定支付</w:t>
      </w:r>
      <w:r>
        <w:rPr>
          <w:rFonts w:hint="eastAsia" w:ascii="宋体" w:hAnsi="宋体"/>
          <w:sz w:val="24"/>
        </w:rPr>
        <w:t>。</w:t>
      </w:r>
    </w:p>
    <w:p>
      <w:pPr>
        <w:adjustRightInd w:val="0"/>
        <w:snapToGrid w:val="0"/>
        <w:spacing w:line="360" w:lineRule="auto"/>
        <w:rPr>
          <w:rFonts w:ascii="宋体" w:hAnsi="宋体"/>
          <w:sz w:val="24"/>
        </w:rPr>
      </w:pPr>
      <w:r>
        <w:rPr>
          <w:rFonts w:hint="eastAsia" w:ascii="宋体" w:hAnsi="宋体"/>
          <w:sz w:val="24"/>
        </w:rPr>
        <w:t>本工程质量保修书作为施工合同附件，由施工合同发包人承包人双方共同签署。</w:t>
      </w: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发包人</w:t>
      </w:r>
      <w:r>
        <w:rPr>
          <w:rFonts w:ascii="宋体" w:hAnsi="宋体"/>
          <w:sz w:val="24"/>
        </w:rPr>
        <w:t>(</w:t>
      </w:r>
      <w:r>
        <w:rPr>
          <w:rFonts w:hint="eastAsia" w:ascii="宋体" w:hAnsi="宋体"/>
          <w:sz w:val="24"/>
        </w:rPr>
        <w:t>公章</w:t>
      </w:r>
      <w:r>
        <w:rPr>
          <w:rFonts w:ascii="宋体" w:hAnsi="宋体"/>
          <w:sz w:val="24"/>
        </w:rPr>
        <w:t>)</w:t>
      </w:r>
      <w:r>
        <w:rPr>
          <w:rFonts w:hint="eastAsia" w:ascii="宋体" w:hAnsi="宋体"/>
          <w:sz w:val="24"/>
        </w:rPr>
        <w:t>：承包人</w:t>
      </w:r>
      <w:r>
        <w:rPr>
          <w:rFonts w:ascii="宋体" w:hAnsi="宋体"/>
          <w:sz w:val="24"/>
        </w:rPr>
        <w:t>(</w:t>
      </w:r>
      <w:r>
        <w:rPr>
          <w:rFonts w:hint="eastAsia" w:ascii="宋体" w:hAnsi="宋体"/>
          <w:sz w:val="24"/>
        </w:rPr>
        <w:t>公章</w:t>
      </w:r>
      <w:r>
        <w:rPr>
          <w:rFonts w:ascii="宋体" w:hAnsi="宋体"/>
          <w:sz w:val="24"/>
        </w:rPr>
        <w:t>)</w:t>
      </w:r>
      <w:r>
        <w:rPr>
          <w:rFonts w:hint="eastAsia" w:ascii="宋体" w:hAnsi="宋体"/>
          <w:sz w:val="24"/>
        </w:rPr>
        <w:t>：</w:t>
      </w:r>
    </w:p>
    <w:p>
      <w:pPr>
        <w:adjustRightInd w:val="0"/>
        <w:snapToGrid w:val="0"/>
        <w:spacing w:line="360" w:lineRule="auto"/>
        <w:rPr>
          <w:rFonts w:ascii="宋体" w:hAnsi="宋体"/>
          <w:sz w:val="24"/>
        </w:rPr>
      </w:pPr>
      <w:r>
        <w:rPr>
          <w:rFonts w:hint="eastAsia" w:ascii="宋体" w:hAnsi="宋体"/>
          <w:sz w:val="24"/>
        </w:rPr>
        <w:t>委托代表人</w:t>
      </w:r>
      <w:r>
        <w:rPr>
          <w:rFonts w:ascii="宋体" w:hAnsi="宋体"/>
          <w:sz w:val="24"/>
        </w:rPr>
        <w:t>(</w:t>
      </w:r>
      <w:r>
        <w:rPr>
          <w:rFonts w:hint="eastAsia" w:ascii="宋体" w:hAnsi="宋体"/>
          <w:sz w:val="24"/>
        </w:rPr>
        <w:t>签字</w:t>
      </w:r>
      <w:r>
        <w:rPr>
          <w:rFonts w:ascii="宋体" w:hAnsi="宋体"/>
          <w:sz w:val="24"/>
        </w:rPr>
        <w:t>)</w:t>
      </w:r>
      <w:r>
        <w:rPr>
          <w:rFonts w:hint="eastAsia" w:ascii="宋体" w:hAnsi="宋体"/>
          <w:sz w:val="24"/>
        </w:rPr>
        <w:t>：委托代表人</w:t>
      </w:r>
      <w:r>
        <w:rPr>
          <w:rFonts w:ascii="宋体" w:hAnsi="宋体"/>
          <w:sz w:val="24"/>
        </w:rPr>
        <w:t>(</w:t>
      </w:r>
      <w:r>
        <w:rPr>
          <w:rFonts w:hint="eastAsia" w:ascii="宋体" w:hAnsi="宋体"/>
          <w:sz w:val="24"/>
        </w:rPr>
        <w:t>签字</w:t>
      </w:r>
      <w:r>
        <w:rPr>
          <w:rFonts w:ascii="宋体" w:hAnsi="宋体"/>
          <w:sz w:val="24"/>
        </w:rPr>
        <w:t>)</w:t>
      </w:r>
      <w:r>
        <w:rPr>
          <w:rFonts w:hint="eastAsia" w:ascii="宋体" w:hAnsi="宋体"/>
          <w:sz w:val="24"/>
        </w:rPr>
        <w:t>：</w:t>
      </w:r>
    </w:p>
    <w:p>
      <w:pPr>
        <w:adjustRightInd w:val="0"/>
        <w:snapToGrid w:val="0"/>
        <w:spacing w:line="360" w:lineRule="auto"/>
        <w:rPr>
          <w:rFonts w:ascii="宋体" w:hAnsi="宋体"/>
          <w:sz w:val="24"/>
        </w:rPr>
      </w:pPr>
      <w:r>
        <w:rPr>
          <w:rFonts w:hint="eastAsia" w:ascii="宋体" w:hAnsi="宋体"/>
          <w:sz w:val="24"/>
        </w:rPr>
        <w:t>经办人（签字）：经办人（签字）：</w:t>
      </w:r>
    </w:p>
    <w:p>
      <w:pPr>
        <w:adjustRightInd w:val="0"/>
        <w:snapToGrid w:val="0"/>
        <w:spacing w:line="360" w:lineRule="auto"/>
        <w:rPr>
          <w:rFonts w:ascii="宋体" w:hAnsi="宋体"/>
          <w:b/>
          <w:snapToGrid w:val="0"/>
          <w:sz w:val="44"/>
        </w:rPr>
        <w:sectPr>
          <w:pgSz w:w="11906" w:h="16838"/>
          <w:pgMar w:top="1246" w:right="1486" w:bottom="1440" w:left="1800" w:header="851" w:footer="992" w:gutter="0"/>
          <w:cols w:space="720" w:num="1"/>
          <w:docGrid w:type="lines" w:linePitch="312" w:charSpace="0"/>
        </w:sectPr>
      </w:pPr>
      <w:r>
        <w:rPr>
          <w:rFonts w:ascii="宋体" w:hAnsi="宋体"/>
          <w:sz w:val="24"/>
        </w:rPr>
        <w:t>____</w:t>
      </w:r>
      <w:r>
        <w:rPr>
          <w:rFonts w:hint="eastAsia" w:ascii="宋体" w:hAnsi="宋体"/>
          <w:sz w:val="24"/>
        </w:rPr>
        <w:t>年</w:t>
      </w:r>
      <w:r>
        <w:rPr>
          <w:rFonts w:ascii="宋体" w:hAnsi="宋体"/>
          <w:sz w:val="24"/>
        </w:rPr>
        <w:t>___</w:t>
      </w:r>
      <w:r>
        <w:rPr>
          <w:rFonts w:hint="eastAsia" w:ascii="宋体" w:hAnsi="宋体"/>
          <w:sz w:val="24"/>
        </w:rPr>
        <w:t>月</w:t>
      </w:r>
      <w:r>
        <w:rPr>
          <w:rFonts w:ascii="宋体" w:hAnsi="宋体"/>
          <w:sz w:val="24"/>
        </w:rPr>
        <w:t>___</w:t>
      </w:r>
      <w:r>
        <w:rPr>
          <w:rFonts w:hint="eastAsia" w:ascii="宋体" w:hAnsi="宋体"/>
          <w:sz w:val="24"/>
        </w:rPr>
        <w:t>日</w:t>
      </w:r>
      <w:r>
        <w:rPr>
          <w:rFonts w:ascii="宋体" w:hAnsi="宋体"/>
          <w:sz w:val="24"/>
        </w:rPr>
        <w:t xml:space="preserve">                                 ____</w:t>
      </w:r>
      <w:r>
        <w:rPr>
          <w:rFonts w:hint="eastAsia" w:ascii="宋体" w:hAnsi="宋体"/>
          <w:sz w:val="24"/>
        </w:rPr>
        <w:t>年</w:t>
      </w:r>
      <w:r>
        <w:rPr>
          <w:rFonts w:ascii="宋体" w:hAnsi="宋体"/>
          <w:sz w:val="24"/>
        </w:rPr>
        <w:t>___</w:t>
      </w:r>
      <w:r>
        <w:rPr>
          <w:rFonts w:hint="eastAsia" w:ascii="宋体" w:hAnsi="宋体"/>
          <w:sz w:val="24"/>
        </w:rPr>
        <w:t>月</w:t>
      </w:r>
      <w:r>
        <w:rPr>
          <w:rFonts w:ascii="宋体" w:hAnsi="宋体"/>
          <w:sz w:val="24"/>
        </w:rPr>
        <w:t>____</w:t>
      </w:r>
      <w:r>
        <w:rPr>
          <w:rFonts w:hint="eastAsia" w:ascii="宋体" w:hAnsi="宋体"/>
          <w:sz w:val="24"/>
        </w:rPr>
        <w:t>日</w:t>
      </w:r>
    </w:p>
    <w:p>
      <w:pPr>
        <w:pStyle w:val="3"/>
        <w:jc w:val="center"/>
        <w:rPr>
          <w:snapToGrid w:val="0"/>
        </w:rPr>
      </w:pPr>
      <w:bookmarkStart w:id="16" w:name="_Toc21960"/>
      <w:r>
        <w:rPr>
          <w:rFonts w:hint="eastAsia"/>
          <w:snapToGrid w:val="0"/>
        </w:rPr>
        <w:t>第三章技术规范</w:t>
      </w:r>
      <w:bookmarkEnd w:id="16"/>
    </w:p>
    <w:p>
      <w:pPr>
        <w:tabs>
          <w:tab w:val="left" w:pos="0"/>
          <w:tab w:val="left" w:pos="993"/>
          <w:tab w:val="left" w:pos="1134"/>
        </w:tabs>
        <w:adjustRightInd w:val="0"/>
        <w:snapToGrid w:val="0"/>
        <w:spacing w:line="360" w:lineRule="auto"/>
        <w:rPr>
          <w:rFonts w:ascii="宋体" w:hAnsi="宋体"/>
          <w:snapToGrid w:val="0"/>
          <w:sz w:val="28"/>
        </w:rPr>
      </w:pPr>
    </w:p>
    <w:p>
      <w:pPr>
        <w:tabs>
          <w:tab w:val="left" w:pos="0"/>
          <w:tab w:val="left" w:pos="567"/>
          <w:tab w:val="left" w:pos="993"/>
          <w:tab w:val="left" w:pos="1134"/>
        </w:tabs>
        <w:adjustRightInd w:val="0"/>
        <w:snapToGrid w:val="0"/>
        <w:spacing w:line="360" w:lineRule="auto"/>
        <w:ind w:firstLine="560"/>
        <w:rPr>
          <w:rFonts w:ascii="宋体" w:hAnsi="宋体"/>
          <w:snapToGrid w:val="0"/>
          <w:sz w:val="28"/>
        </w:rPr>
      </w:pPr>
      <w:r>
        <w:rPr>
          <w:rFonts w:hint="eastAsia" w:ascii="宋体" w:hAnsi="宋体"/>
          <w:snapToGrid w:val="0"/>
          <w:sz w:val="28"/>
        </w:rPr>
        <w:t>一、本工程采用的主要技术规范（</w:t>
      </w:r>
      <w:r>
        <w:rPr>
          <w:rFonts w:hint="eastAsia" w:ascii="宋体" w:hAnsi="宋体"/>
          <w:snapToGrid w:val="0"/>
          <w:sz w:val="24"/>
        </w:rPr>
        <w:t>本工程可参照但不限于以下规范，均应以最新规范标准为准</w:t>
      </w:r>
      <w:r>
        <w:rPr>
          <w:rFonts w:hint="eastAsia" w:ascii="宋体" w:hAnsi="宋体"/>
          <w:snapToGrid w:val="0"/>
          <w:sz w:val="28"/>
        </w:rPr>
        <w:t>）</w:t>
      </w:r>
    </w:p>
    <w:p>
      <w:pPr>
        <w:spacing w:line="360" w:lineRule="auto"/>
        <w:rPr>
          <w:rFonts w:asciiTheme="minorEastAsia" w:hAnsiTheme="minorEastAsia" w:cstheme="minorEastAsia"/>
          <w:sz w:val="24"/>
        </w:rPr>
      </w:pPr>
      <w:r>
        <w:rPr>
          <w:rFonts w:hint="eastAsia" w:asciiTheme="minorEastAsia" w:hAnsiTheme="minorEastAsia" w:eastAsiaTheme="minorEastAsia" w:cstheme="minorEastAsia"/>
          <w:sz w:val="24"/>
        </w:rPr>
        <w:t>《建筑工程施工质量验收统一标准》（GB50300—2001）</w:t>
      </w:r>
    </w:p>
    <w:p>
      <w:pPr>
        <w:spacing w:line="360" w:lineRule="auto"/>
        <w:rPr>
          <w:rFonts w:asciiTheme="minorEastAsia" w:hAnsiTheme="minorEastAsia" w:cstheme="minorEastAsia"/>
          <w:sz w:val="24"/>
        </w:rPr>
      </w:pPr>
      <w:r>
        <w:rPr>
          <w:rFonts w:hint="eastAsia" w:asciiTheme="minorEastAsia" w:hAnsiTheme="minorEastAsia" w:eastAsiaTheme="minorEastAsia" w:cstheme="minorEastAsia"/>
          <w:sz w:val="24"/>
        </w:rPr>
        <w:t>《建筑安装分项工程施工工艺规程》（2004/03/01）</w:t>
      </w:r>
    </w:p>
    <w:p>
      <w:pPr>
        <w:spacing w:line="360" w:lineRule="auto"/>
        <w:rPr>
          <w:rFonts w:asciiTheme="minorEastAsia" w:hAnsiTheme="minorEastAsia" w:cstheme="minorEastAsia"/>
          <w:sz w:val="24"/>
        </w:rPr>
      </w:pPr>
      <w:r>
        <w:rPr>
          <w:rFonts w:hint="eastAsia" w:asciiTheme="minorEastAsia" w:hAnsiTheme="minorEastAsia" w:eastAsiaTheme="minorEastAsia" w:cstheme="minorEastAsia"/>
          <w:sz w:val="24"/>
        </w:rPr>
        <w:t>《采暖通风及空气调节设计规范》</w:t>
      </w:r>
      <w:r>
        <w:rPr>
          <w:rFonts w:hint="eastAsia" w:asciiTheme="minorEastAsia" w:hAnsiTheme="minorEastAsia" w:cstheme="minorEastAsia"/>
          <w:sz w:val="24"/>
        </w:rPr>
        <w:t>（</w:t>
      </w:r>
      <w:r>
        <w:rPr>
          <w:rFonts w:hint="eastAsia" w:asciiTheme="minorEastAsia" w:hAnsiTheme="minorEastAsia" w:eastAsiaTheme="minorEastAsia" w:cstheme="minorEastAsia"/>
          <w:sz w:val="24"/>
        </w:rPr>
        <w:t>GB50019-2003</w:t>
      </w:r>
      <w:r>
        <w:rPr>
          <w:rFonts w:hint="eastAsia" w:asciiTheme="minorEastAsia" w:hAnsiTheme="minorEastAsia" w:cstheme="minorEastAsia"/>
          <w:sz w:val="24"/>
        </w:rPr>
        <w:t>）</w:t>
      </w:r>
    </w:p>
    <w:p>
      <w:pPr>
        <w:spacing w:line="360" w:lineRule="auto"/>
        <w:rPr>
          <w:rFonts w:asciiTheme="minorEastAsia" w:hAnsiTheme="minorEastAsia" w:cstheme="minorEastAsia"/>
          <w:sz w:val="24"/>
        </w:rPr>
      </w:pPr>
      <w:r>
        <w:rPr>
          <w:rFonts w:hint="eastAsia" w:asciiTheme="minorEastAsia" w:hAnsiTheme="minorEastAsia" w:eastAsiaTheme="minorEastAsia" w:cstheme="minorEastAsia"/>
          <w:sz w:val="24"/>
        </w:rPr>
        <w:t>《通风与空调工程施工质量验收规范》（GB50243—2002）</w:t>
      </w:r>
    </w:p>
    <w:p>
      <w:pPr>
        <w:spacing w:line="360" w:lineRule="auto"/>
        <w:rPr>
          <w:rFonts w:asciiTheme="minorEastAsia" w:hAnsiTheme="minorEastAsia" w:cstheme="minorEastAsia"/>
          <w:sz w:val="24"/>
        </w:rPr>
      </w:pPr>
      <w:r>
        <w:rPr>
          <w:rFonts w:hint="eastAsia" w:asciiTheme="minorEastAsia" w:hAnsiTheme="minorEastAsia" w:cstheme="minorEastAsia"/>
          <w:sz w:val="24"/>
        </w:rPr>
        <w:t>《</w:t>
      </w:r>
      <w:r>
        <w:rPr>
          <w:rFonts w:hint="eastAsia" w:asciiTheme="minorEastAsia" w:hAnsiTheme="minorEastAsia" w:eastAsiaTheme="minorEastAsia" w:cstheme="minorEastAsia"/>
          <w:sz w:val="24"/>
        </w:rPr>
        <w:t>建筑给排水及采暖工程施工质量验收规范</w:t>
      </w:r>
      <w:r>
        <w:rPr>
          <w:rFonts w:hint="eastAsia" w:asciiTheme="minorEastAsia" w:hAnsiTheme="minorEastAsia" w:cstheme="minorEastAsia"/>
          <w:sz w:val="24"/>
        </w:rPr>
        <w:t>》</w:t>
      </w:r>
      <w:r>
        <w:rPr>
          <w:rFonts w:hint="eastAsia" w:asciiTheme="minorEastAsia" w:hAnsiTheme="minorEastAsia" w:eastAsiaTheme="minorEastAsia" w:cstheme="minorEastAsia"/>
          <w:sz w:val="24"/>
        </w:rPr>
        <w:t>（GB50242－2002）</w:t>
      </w:r>
    </w:p>
    <w:p>
      <w:pPr>
        <w:spacing w:line="360" w:lineRule="auto"/>
        <w:rPr>
          <w:rFonts w:asciiTheme="minorEastAsia" w:hAnsiTheme="minorEastAsia" w:cstheme="minorEastAsia"/>
          <w:sz w:val="24"/>
        </w:rPr>
      </w:pPr>
      <w:r>
        <w:rPr>
          <w:rFonts w:hint="eastAsia" w:asciiTheme="minorEastAsia" w:hAnsiTheme="minorEastAsia" w:eastAsiaTheme="minorEastAsia" w:cstheme="minorEastAsia"/>
          <w:sz w:val="24"/>
        </w:rPr>
        <w:t>《地面辐射供暖技术规程》</w:t>
      </w:r>
      <w:r>
        <w:rPr>
          <w:rFonts w:hint="eastAsia" w:asciiTheme="minorEastAsia" w:hAnsiTheme="minorEastAsia" w:cstheme="minorEastAsia"/>
          <w:sz w:val="24"/>
        </w:rPr>
        <w:t>（</w:t>
      </w:r>
      <w:r>
        <w:rPr>
          <w:rFonts w:hint="eastAsia" w:asciiTheme="minorEastAsia" w:hAnsiTheme="minorEastAsia" w:eastAsiaTheme="minorEastAsia" w:cstheme="minorEastAsia"/>
          <w:sz w:val="24"/>
        </w:rPr>
        <w:t>JGJ142-2004</w:t>
      </w:r>
      <w:r>
        <w:rPr>
          <w:rFonts w:hint="eastAsia" w:asciiTheme="minorEastAsia" w:hAnsiTheme="minorEastAsia" w:cstheme="minorEastAsia"/>
          <w:sz w:val="24"/>
        </w:rPr>
        <w:t>）</w:t>
      </w:r>
    </w:p>
    <w:p>
      <w:pPr>
        <w:pStyle w:val="115"/>
        <w:ind w:firstLine="0" w:firstLineChars="0"/>
        <w:jc w:val="both"/>
        <w:rPr>
          <w:rFonts w:asciiTheme="minorEastAsia" w:hAnsiTheme="minorEastAsia" w:cstheme="minorEastAsia"/>
          <w:sz w:val="24"/>
          <w:szCs w:val="24"/>
        </w:rPr>
      </w:pPr>
      <w:r>
        <w:rPr>
          <w:rFonts w:hint="eastAsia" w:asciiTheme="minorEastAsia" w:hAnsiTheme="minorEastAsia" w:eastAsiaTheme="minorEastAsia" w:cstheme="minorEastAsia"/>
          <w:sz w:val="24"/>
          <w:szCs w:val="24"/>
        </w:rPr>
        <w:t>《民用建筑太阳能热水系统应用技术规范》（GB 50364-2005）</w:t>
      </w:r>
    </w:p>
    <w:p>
      <w:pPr>
        <w:pStyle w:val="115"/>
        <w:ind w:firstLine="0" w:firstLineChars="0"/>
        <w:jc w:val="both"/>
        <w:rPr>
          <w:rFonts w:asciiTheme="minorEastAsia" w:hAnsiTheme="minorEastAsia" w:cstheme="minorEastAsia"/>
          <w:sz w:val="24"/>
          <w:szCs w:val="24"/>
        </w:rPr>
      </w:pPr>
      <w:r>
        <w:rPr>
          <w:rFonts w:hint="eastAsia" w:asciiTheme="minorEastAsia" w:hAnsiTheme="minorEastAsia" w:eastAsiaTheme="minorEastAsia" w:cstheme="minorEastAsia"/>
          <w:sz w:val="24"/>
          <w:szCs w:val="24"/>
        </w:rPr>
        <w:t>《太阳能热水系统设计、安装及工程验收技术规范》（GB/T18713-2002）</w:t>
      </w:r>
    </w:p>
    <w:p>
      <w:pPr>
        <w:pStyle w:val="115"/>
        <w:ind w:firstLine="0" w:firstLineChars="0"/>
        <w:jc w:val="both"/>
        <w:rPr>
          <w:rFonts w:asciiTheme="minorEastAsia" w:hAnsiTheme="minorEastAsia" w:cstheme="minorEastAsia"/>
          <w:sz w:val="24"/>
          <w:szCs w:val="24"/>
        </w:rPr>
      </w:pPr>
      <w:r>
        <w:rPr>
          <w:rFonts w:hint="eastAsia" w:asciiTheme="minorEastAsia" w:hAnsiTheme="minorEastAsia" w:eastAsiaTheme="minorEastAsia" w:cstheme="minorEastAsia"/>
          <w:sz w:val="24"/>
          <w:szCs w:val="24"/>
        </w:rPr>
        <w:t>《建筑给排水设计规范》（GB50015-2003）</w:t>
      </w:r>
    </w:p>
    <w:p>
      <w:pPr>
        <w:tabs>
          <w:tab w:val="left" w:pos="0"/>
          <w:tab w:val="left" w:pos="993"/>
          <w:tab w:val="left" w:pos="1134"/>
        </w:tabs>
        <w:adjustRightInd w:val="0"/>
        <w:snapToGrid w:val="0"/>
        <w:spacing w:line="360" w:lineRule="auto"/>
        <w:ind w:firstLine="560"/>
        <w:rPr>
          <w:rFonts w:ascii="宋体" w:hAnsi="宋体"/>
          <w:snapToGrid w:val="0"/>
          <w:sz w:val="24"/>
        </w:rPr>
      </w:pPr>
    </w:p>
    <w:p>
      <w:pPr>
        <w:tabs>
          <w:tab w:val="left" w:pos="0"/>
          <w:tab w:val="left" w:pos="993"/>
          <w:tab w:val="left" w:pos="1134"/>
        </w:tabs>
        <w:adjustRightInd w:val="0"/>
        <w:snapToGrid w:val="0"/>
        <w:spacing w:line="360" w:lineRule="auto"/>
        <w:ind w:firstLine="560"/>
        <w:rPr>
          <w:rFonts w:ascii="宋体" w:hAnsi="宋体"/>
          <w:snapToGrid w:val="0"/>
          <w:sz w:val="24"/>
        </w:rPr>
      </w:pPr>
      <w:r>
        <w:rPr>
          <w:rFonts w:hint="eastAsia" w:ascii="宋体" w:hAnsi="宋体"/>
          <w:snapToGrid w:val="0"/>
          <w:sz w:val="28"/>
        </w:rPr>
        <w:t>二、对材料的质量和试验要求</w:t>
      </w:r>
    </w:p>
    <w:p>
      <w:pPr>
        <w:tabs>
          <w:tab w:val="left" w:pos="0"/>
          <w:tab w:val="left" w:pos="993"/>
          <w:tab w:val="left" w:pos="1134"/>
        </w:tabs>
        <w:adjustRightInd w:val="0"/>
        <w:snapToGrid w:val="0"/>
        <w:spacing w:line="360" w:lineRule="auto"/>
        <w:ind w:firstLine="600"/>
        <w:rPr>
          <w:rFonts w:ascii="宋体" w:hAnsi="宋体"/>
          <w:snapToGrid w:val="0"/>
          <w:sz w:val="28"/>
        </w:rPr>
      </w:pPr>
      <w:r>
        <w:rPr>
          <w:rFonts w:hint="eastAsia" w:ascii="宋体" w:hAnsi="宋体"/>
          <w:snapToGrid w:val="0"/>
          <w:sz w:val="28"/>
        </w:rPr>
        <w:t>按照规范规定，要求做试验的材料，必须做试验，试验合格后才可使用。</w:t>
      </w:r>
    </w:p>
    <w:p>
      <w:pPr>
        <w:tabs>
          <w:tab w:val="left" w:pos="0"/>
          <w:tab w:val="left" w:pos="993"/>
          <w:tab w:val="left" w:pos="1134"/>
        </w:tabs>
        <w:adjustRightInd w:val="0"/>
        <w:snapToGrid w:val="0"/>
        <w:spacing w:line="360" w:lineRule="auto"/>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spacing w:line="360" w:lineRule="auto"/>
        <w:rPr>
          <w:rFonts w:ascii="宋体" w:hAnsi="宋体"/>
          <w:sz w:val="2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sectPr>
          <w:pgSz w:w="11906" w:h="16838"/>
          <w:pgMar w:top="1246" w:right="1486" w:bottom="1440" w:left="1800" w:header="851" w:footer="992" w:gutter="0"/>
          <w:cols w:space="720" w:num="1"/>
          <w:docGrid w:type="lines" w:linePitch="312" w:charSpace="0"/>
        </w:sectPr>
      </w:pPr>
    </w:p>
    <w:p>
      <w:pPr>
        <w:pStyle w:val="3"/>
        <w:jc w:val="center"/>
        <w:rPr>
          <w:snapToGrid w:val="0"/>
        </w:rPr>
      </w:pPr>
      <w:bookmarkStart w:id="17" w:name="_Toc26018"/>
      <w:r>
        <w:rPr>
          <w:rFonts w:hint="eastAsia"/>
          <w:snapToGrid w:val="0"/>
        </w:rPr>
        <w:t>第四章工程量清单</w:t>
      </w:r>
      <w:bookmarkEnd w:id="17"/>
    </w:p>
    <w:p>
      <w:pPr>
        <w:tabs>
          <w:tab w:val="left" w:pos="0"/>
          <w:tab w:val="left" w:pos="993"/>
          <w:tab w:val="left" w:pos="1134"/>
        </w:tabs>
        <w:adjustRightInd w:val="0"/>
        <w:snapToGrid w:val="0"/>
        <w:spacing w:line="360" w:lineRule="auto"/>
        <w:jc w:val="left"/>
        <w:rPr>
          <w:rFonts w:ascii="宋体" w:hAnsi="宋体"/>
          <w:b/>
          <w:snapToGrid w:val="0"/>
          <w:sz w:val="44"/>
        </w:rPr>
      </w:pPr>
    </w:p>
    <w:p>
      <w:pPr>
        <w:tabs>
          <w:tab w:val="left" w:pos="0"/>
          <w:tab w:val="left" w:pos="993"/>
          <w:tab w:val="left" w:pos="1134"/>
        </w:tabs>
        <w:adjustRightInd w:val="0"/>
        <w:snapToGrid w:val="0"/>
        <w:spacing w:line="360" w:lineRule="auto"/>
        <w:jc w:val="left"/>
        <w:rPr>
          <w:rFonts w:ascii="宋体" w:hAnsi="宋体"/>
          <w:b/>
          <w:snapToGrid w:val="0"/>
          <w:sz w:val="44"/>
        </w:rPr>
      </w:pPr>
    </w:p>
    <w:p>
      <w:pPr>
        <w:tabs>
          <w:tab w:val="left" w:pos="0"/>
          <w:tab w:val="left" w:pos="993"/>
          <w:tab w:val="left" w:pos="1134"/>
        </w:tabs>
        <w:adjustRightInd w:val="0"/>
        <w:snapToGrid w:val="0"/>
        <w:spacing w:line="360" w:lineRule="auto"/>
        <w:jc w:val="left"/>
        <w:rPr>
          <w:rFonts w:ascii="宋体" w:hAnsi="宋体"/>
          <w:b/>
          <w:snapToGrid w:val="0"/>
          <w:sz w:val="44"/>
        </w:rPr>
      </w:pPr>
    </w:p>
    <w:p>
      <w:pPr>
        <w:pStyle w:val="22"/>
        <w:spacing w:line="360" w:lineRule="auto"/>
        <w:rPr>
          <w:rFonts w:hAnsi="宋体"/>
          <w:sz w:val="24"/>
        </w:rPr>
      </w:pPr>
    </w:p>
    <w:p>
      <w:pPr>
        <w:pStyle w:val="3"/>
        <w:jc w:val="center"/>
        <w:rPr>
          <w:snapToGrid w:val="0"/>
        </w:rPr>
      </w:pPr>
      <w:bookmarkStart w:id="18" w:name="_Toc25807"/>
      <w:r>
        <w:rPr>
          <w:rFonts w:hint="eastAsia"/>
          <w:snapToGrid w:val="0"/>
        </w:rPr>
        <w:t>第五章图纸和技术资料（另附）</w:t>
      </w:r>
      <w:bookmarkEnd w:id="18"/>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b/>
          <w:snapToGrid w:val="0"/>
          <w:sz w:val="44"/>
        </w:rPr>
      </w:pPr>
    </w:p>
    <w:p>
      <w:pPr>
        <w:tabs>
          <w:tab w:val="left" w:pos="0"/>
          <w:tab w:val="left" w:pos="993"/>
          <w:tab w:val="left" w:pos="1134"/>
        </w:tabs>
        <w:adjustRightInd w:val="0"/>
        <w:snapToGrid w:val="0"/>
        <w:spacing w:line="360" w:lineRule="auto"/>
        <w:jc w:val="center"/>
        <w:rPr>
          <w:rFonts w:ascii="宋体" w:hAnsi="宋体"/>
          <w:snapToGrid w:val="0"/>
          <w:sz w:val="44"/>
        </w:rPr>
        <w:sectPr>
          <w:pgSz w:w="11906" w:h="16838"/>
          <w:pgMar w:top="1246" w:right="1486" w:bottom="1440" w:left="1800" w:header="851" w:footer="992" w:gutter="0"/>
          <w:cols w:space="720" w:num="1"/>
          <w:docGrid w:type="lines" w:linePitch="312" w:charSpace="0"/>
        </w:sectPr>
      </w:pPr>
    </w:p>
    <w:p>
      <w:pPr>
        <w:pStyle w:val="3"/>
        <w:jc w:val="center"/>
        <w:rPr>
          <w:snapToGrid w:val="0"/>
        </w:rPr>
      </w:pPr>
      <w:bookmarkStart w:id="19" w:name="_Toc5832"/>
      <w:r>
        <w:rPr>
          <w:rFonts w:hint="eastAsia"/>
          <w:snapToGrid w:val="0"/>
        </w:rPr>
        <w:t>第六章投标文件(格式)</w:t>
      </w:r>
      <w:bookmarkEnd w:id="19"/>
    </w:p>
    <w:p>
      <w:pPr>
        <w:pStyle w:val="22"/>
        <w:spacing w:line="360" w:lineRule="auto"/>
        <w:rPr>
          <w:rFonts w:hAnsi="宋体"/>
          <w:sz w:val="36"/>
        </w:rPr>
      </w:pPr>
    </w:p>
    <w:p>
      <w:pPr>
        <w:pStyle w:val="22"/>
        <w:spacing w:line="360" w:lineRule="auto"/>
        <w:rPr>
          <w:rFonts w:hAnsi="宋体"/>
          <w:sz w:val="36"/>
        </w:rPr>
      </w:pPr>
    </w:p>
    <w:p>
      <w:pPr>
        <w:pStyle w:val="22"/>
        <w:spacing w:line="360" w:lineRule="auto"/>
        <w:rPr>
          <w:rFonts w:hAnsi="宋体"/>
          <w:sz w:val="36"/>
        </w:rPr>
      </w:pPr>
    </w:p>
    <w:p>
      <w:pPr>
        <w:pStyle w:val="22"/>
        <w:spacing w:line="360" w:lineRule="auto"/>
        <w:jc w:val="center"/>
        <w:rPr>
          <w:rFonts w:hAnsi="宋体"/>
          <w:sz w:val="44"/>
        </w:rPr>
      </w:pPr>
      <w:r>
        <w:rPr>
          <w:rFonts w:hint="eastAsia" w:hAnsi="宋体"/>
          <w:snapToGrid w:val="0"/>
          <w:sz w:val="44"/>
          <w:u w:val="single"/>
        </w:rPr>
        <w:t>____________________</w:t>
      </w:r>
      <w:r>
        <w:rPr>
          <w:rFonts w:hint="eastAsia" w:hAnsi="宋体"/>
          <w:sz w:val="44"/>
        </w:rPr>
        <w:t>工程</w:t>
      </w:r>
    </w:p>
    <w:p>
      <w:pPr>
        <w:pStyle w:val="22"/>
        <w:spacing w:line="360" w:lineRule="auto"/>
        <w:jc w:val="center"/>
        <w:rPr>
          <w:rFonts w:hAnsi="宋体"/>
          <w:sz w:val="44"/>
        </w:rPr>
      </w:pPr>
    </w:p>
    <w:p>
      <w:pPr>
        <w:pStyle w:val="22"/>
        <w:spacing w:line="360" w:lineRule="auto"/>
        <w:jc w:val="center"/>
        <w:rPr>
          <w:rFonts w:hAnsi="宋体"/>
          <w:sz w:val="44"/>
        </w:rPr>
      </w:pPr>
    </w:p>
    <w:p>
      <w:pPr>
        <w:pStyle w:val="22"/>
        <w:spacing w:line="360" w:lineRule="auto"/>
        <w:jc w:val="center"/>
        <w:rPr>
          <w:rFonts w:hAnsi="宋体"/>
          <w:sz w:val="36"/>
        </w:rPr>
      </w:pPr>
    </w:p>
    <w:p>
      <w:pPr>
        <w:pStyle w:val="22"/>
        <w:spacing w:line="360" w:lineRule="auto"/>
        <w:jc w:val="center"/>
        <w:rPr>
          <w:rFonts w:hAnsi="宋体"/>
          <w:sz w:val="84"/>
        </w:rPr>
      </w:pPr>
      <w:r>
        <w:rPr>
          <w:rFonts w:hint="eastAsia" w:hAnsi="宋体"/>
          <w:sz w:val="84"/>
        </w:rPr>
        <w:t>投 标 文 件</w:t>
      </w:r>
    </w:p>
    <w:p>
      <w:pPr>
        <w:pStyle w:val="22"/>
        <w:spacing w:line="360" w:lineRule="auto"/>
        <w:jc w:val="center"/>
        <w:rPr>
          <w:rFonts w:hAnsi="宋体"/>
          <w:sz w:val="28"/>
        </w:rPr>
      </w:pPr>
    </w:p>
    <w:p>
      <w:pPr>
        <w:pStyle w:val="22"/>
        <w:spacing w:line="360" w:lineRule="auto"/>
        <w:jc w:val="center"/>
        <w:rPr>
          <w:rFonts w:hAnsi="宋体"/>
          <w:sz w:val="72"/>
        </w:rPr>
      </w:pPr>
    </w:p>
    <w:p>
      <w:pPr>
        <w:pStyle w:val="22"/>
        <w:spacing w:line="360" w:lineRule="auto"/>
        <w:jc w:val="center"/>
        <w:rPr>
          <w:rFonts w:hAnsi="宋体"/>
          <w:sz w:val="72"/>
        </w:rPr>
      </w:pPr>
    </w:p>
    <w:p>
      <w:pPr>
        <w:pStyle w:val="22"/>
        <w:spacing w:line="360" w:lineRule="auto"/>
        <w:jc w:val="center"/>
        <w:rPr>
          <w:rFonts w:hAnsi="宋体"/>
          <w:sz w:val="72"/>
        </w:rPr>
      </w:pPr>
    </w:p>
    <w:p>
      <w:pPr>
        <w:pStyle w:val="22"/>
        <w:spacing w:line="360" w:lineRule="auto"/>
        <w:jc w:val="center"/>
        <w:rPr>
          <w:rFonts w:hAnsi="宋体"/>
          <w:sz w:val="72"/>
        </w:rPr>
      </w:pPr>
    </w:p>
    <w:p>
      <w:pPr>
        <w:pStyle w:val="22"/>
        <w:spacing w:line="360" w:lineRule="auto"/>
        <w:jc w:val="center"/>
        <w:rPr>
          <w:rFonts w:hAnsi="宋体"/>
          <w:sz w:val="72"/>
        </w:rPr>
      </w:pPr>
    </w:p>
    <w:p>
      <w:pPr>
        <w:pStyle w:val="22"/>
        <w:spacing w:line="360" w:lineRule="auto"/>
        <w:ind w:left="661" w:leftChars="315" w:firstLine="1200" w:firstLineChars="400"/>
        <w:rPr>
          <w:rFonts w:hAnsi="宋体"/>
          <w:sz w:val="30"/>
        </w:rPr>
      </w:pPr>
      <w:r>
        <w:rPr>
          <w:rFonts w:hint="eastAsia" w:hAnsi="宋体"/>
          <w:sz w:val="30"/>
        </w:rPr>
        <w:t>投   标   人（章）:</w:t>
      </w:r>
    </w:p>
    <w:p>
      <w:pPr>
        <w:pStyle w:val="22"/>
        <w:spacing w:line="360" w:lineRule="auto"/>
        <w:ind w:left="661" w:leftChars="315" w:firstLine="1200" w:firstLineChars="400"/>
        <w:rPr>
          <w:rFonts w:hAnsi="宋体"/>
          <w:sz w:val="30"/>
        </w:rPr>
      </w:pPr>
      <w:r>
        <w:rPr>
          <w:rFonts w:hint="eastAsia" w:hAnsi="宋体"/>
          <w:sz w:val="30"/>
        </w:rPr>
        <w:t>法定代表人或委托代理人（签字或盖章）:</w:t>
      </w:r>
    </w:p>
    <w:p>
      <w:pPr>
        <w:pStyle w:val="22"/>
        <w:spacing w:line="360" w:lineRule="auto"/>
        <w:ind w:left="661" w:leftChars="315" w:firstLine="1200" w:firstLineChars="400"/>
        <w:rPr>
          <w:rFonts w:hAnsi="宋体"/>
          <w:sz w:val="72"/>
        </w:rPr>
      </w:pPr>
      <w:r>
        <w:rPr>
          <w:rFonts w:hint="eastAsia" w:hAnsi="宋体"/>
          <w:sz w:val="30"/>
        </w:rPr>
        <w:t>日期：_____年_____月_____日</w:t>
      </w:r>
    </w:p>
    <w:p>
      <w:pPr>
        <w:pStyle w:val="22"/>
        <w:adjustRightInd w:val="0"/>
        <w:snapToGrid w:val="0"/>
        <w:spacing w:line="360" w:lineRule="auto"/>
        <w:jc w:val="center"/>
        <w:rPr>
          <w:rFonts w:hAnsi="宋体"/>
          <w:sz w:val="32"/>
        </w:rPr>
      </w:pPr>
    </w:p>
    <w:p>
      <w:pPr>
        <w:pStyle w:val="3"/>
        <w:jc w:val="center"/>
        <w:rPr>
          <w:rFonts w:ascii="黑体" w:hAnsi="黑体"/>
          <w:b w:val="0"/>
          <w:snapToGrid w:val="0"/>
          <w:sz w:val="28"/>
          <w:szCs w:val="28"/>
        </w:rPr>
      </w:pPr>
      <w:bookmarkStart w:id="20" w:name="_Toc32593"/>
      <w:r>
        <w:rPr>
          <w:rFonts w:hint="eastAsia" w:ascii="黑体" w:hAnsi="黑体"/>
          <w:b w:val="0"/>
          <w:snapToGrid w:val="0"/>
          <w:sz w:val="28"/>
          <w:szCs w:val="28"/>
        </w:rPr>
        <w:t>一 投标函</w:t>
      </w:r>
      <w:bookmarkEnd w:id="20"/>
    </w:p>
    <w:p>
      <w:pPr>
        <w:pStyle w:val="22"/>
        <w:adjustRightInd w:val="0"/>
        <w:snapToGrid w:val="0"/>
        <w:spacing w:line="360" w:lineRule="auto"/>
        <w:rPr>
          <w:rFonts w:hAnsi="宋体"/>
          <w:sz w:val="32"/>
        </w:rPr>
      </w:pPr>
    </w:p>
    <w:p>
      <w:pPr>
        <w:pStyle w:val="22"/>
        <w:adjustRightInd w:val="0"/>
        <w:snapToGrid w:val="0"/>
        <w:spacing w:line="360" w:lineRule="auto"/>
        <w:rPr>
          <w:rFonts w:hAnsi="宋体"/>
        </w:rPr>
      </w:pPr>
      <w:r>
        <w:rPr>
          <w:rFonts w:hint="eastAsia" w:hAnsi="宋体"/>
        </w:rPr>
        <w:t>招标人：__________________</w:t>
      </w:r>
    </w:p>
    <w:p>
      <w:pPr>
        <w:pStyle w:val="22"/>
        <w:adjustRightInd w:val="0"/>
        <w:snapToGrid w:val="0"/>
        <w:spacing w:line="360" w:lineRule="auto"/>
        <w:ind w:firstLine="359"/>
        <w:rPr>
          <w:rFonts w:hAnsi="宋体"/>
        </w:rPr>
      </w:pPr>
      <w:r>
        <w:rPr>
          <w:rFonts w:hint="eastAsia" w:hAnsi="宋体"/>
        </w:rPr>
        <w:t>1、根据已收到的标段编号为的工程（标段名称）的招标文件，我单位经考察现场和研究上述工程招标文件的投标须知、合同条件、技术规范、图纸和其他有关文件后，我方愿以人民币_______元(大写)的总价，按上述合同条件、技术规范、图纸的条件承包上述工程的施工、竣工和保修。</w:t>
      </w:r>
    </w:p>
    <w:p>
      <w:pPr>
        <w:pStyle w:val="22"/>
        <w:adjustRightInd w:val="0"/>
        <w:snapToGrid w:val="0"/>
        <w:spacing w:line="360" w:lineRule="auto"/>
        <w:ind w:firstLine="359"/>
        <w:rPr>
          <w:rFonts w:hAnsi="宋体"/>
          <w:u w:val="single"/>
        </w:rPr>
      </w:pPr>
      <w:r>
        <w:rPr>
          <w:rFonts w:hint="eastAsia" w:hAnsi="宋体"/>
        </w:rPr>
        <w:t>2、一旦我方中标，我方保证在______天(日历日)内竣工并移交整个工程。质量等级为：_______。</w:t>
      </w:r>
    </w:p>
    <w:p>
      <w:pPr>
        <w:pStyle w:val="22"/>
        <w:adjustRightInd w:val="0"/>
        <w:snapToGrid w:val="0"/>
        <w:spacing w:line="360" w:lineRule="auto"/>
        <w:ind w:firstLine="359"/>
        <w:rPr>
          <w:rFonts w:hAnsi="宋体"/>
        </w:rPr>
      </w:pPr>
      <w:r>
        <w:rPr>
          <w:rFonts w:hint="eastAsia" w:hAnsi="宋体"/>
        </w:rPr>
        <w:t>3、如果我方中标，将派出___________（项目经理姓名）作为本工程的项目经理。</w:t>
      </w:r>
    </w:p>
    <w:p>
      <w:pPr>
        <w:pStyle w:val="22"/>
        <w:adjustRightInd w:val="0"/>
        <w:snapToGrid w:val="0"/>
        <w:spacing w:line="360" w:lineRule="auto"/>
        <w:ind w:firstLine="359"/>
        <w:rPr>
          <w:rFonts w:hAnsi="宋体"/>
        </w:rPr>
      </w:pPr>
      <w:r>
        <w:rPr>
          <w:rFonts w:hint="eastAsia" w:hAnsi="宋体"/>
        </w:rPr>
        <w:t>4、我方接受招标文件中的工程款预付及支付条件。</w:t>
      </w:r>
    </w:p>
    <w:p>
      <w:pPr>
        <w:pStyle w:val="22"/>
        <w:adjustRightInd w:val="0"/>
        <w:snapToGrid w:val="0"/>
        <w:spacing w:line="360" w:lineRule="auto"/>
        <w:ind w:firstLine="359"/>
        <w:rPr>
          <w:rFonts w:hAnsi="宋体"/>
        </w:rPr>
      </w:pPr>
      <w:r>
        <w:rPr>
          <w:rFonts w:hint="eastAsia" w:hAnsi="宋体"/>
        </w:rPr>
        <w:t>5．我方同意所递交的投标文件在“投标须知”前附表规定的投标有效期内有效，在此期间内我方的投标有可能中标，我方将受此约束。</w:t>
      </w:r>
    </w:p>
    <w:p>
      <w:pPr>
        <w:pStyle w:val="22"/>
        <w:adjustRightInd w:val="0"/>
        <w:snapToGrid w:val="0"/>
        <w:spacing w:line="360" w:lineRule="auto"/>
        <w:ind w:firstLine="359"/>
        <w:rPr>
          <w:rFonts w:hAnsi="宋体"/>
        </w:rPr>
      </w:pPr>
      <w:r>
        <w:rPr>
          <w:rFonts w:hint="eastAsia" w:hAnsi="宋体"/>
        </w:rPr>
        <w:t>6、除非另外达成协议并生效，你方的中标通知书和本投标文件将构成约束我们双方的合同</w:t>
      </w:r>
    </w:p>
    <w:p>
      <w:pPr>
        <w:pStyle w:val="22"/>
        <w:adjustRightInd w:val="0"/>
        <w:snapToGrid w:val="0"/>
        <w:spacing w:line="360" w:lineRule="auto"/>
        <w:ind w:firstLine="359"/>
        <w:rPr>
          <w:rFonts w:hAnsi="宋体"/>
        </w:rPr>
      </w:pPr>
    </w:p>
    <w:p>
      <w:pPr>
        <w:pStyle w:val="22"/>
        <w:adjustRightInd w:val="0"/>
        <w:snapToGrid w:val="0"/>
        <w:spacing w:line="360" w:lineRule="auto"/>
        <w:ind w:firstLine="359"/>
        <w:rPr>
          <w:rFonts w:hAnsi="宋体"/>
        </w:rPr>
      </w:pPr>
      <w:r>
        <w:rPr>
          <w:rFonts w:hint="eastAsia" w:hAnsi="宋体"/>
        </w:rPr>
        <w:t>投标人：(盖章)</w:t>
      </w:r>
    </w:p>
    <w:p>
      <w:pPr>
        <w:pStyle w:val="22"/>
        <w:adjustRightInd w:val="0"/>
        <w:snapToGrid w:val="0"/>
        <w:spacing w:line="360" w:lineRule="auto"/>
        <w:ind w:firstLine="359"/>
        <w:rPr>
          <w:rFonts w:hAnsi="宋体"/>
        </w:rPr>
      </w:pPr>
      <w:r>
        <w:rPr>
          <w:rFonts w:hint="eastAsia" w:hAnsi="宋体"/>
        </w:rPr>
        <w:t>单位地址：</w:t>
      </w:r>
    </w:p>
    <w:p>
      <w:pPr>
        <w:pStyle w:val="22"/>
        <w:adjustRightInd w:val="0"/>
        <w:snapToGrid w:val="0"/>
        <w:spacing w:line="360" w:lineRule="auto"/>
        <w:ind w:firstLine="359"/>
        <w:rPr>
          <w:rFonts w:hAnsi="宋体"/>
        </w:rPr>
      </w:pPr>
      <w:r>
        <w:rPr>
          <w:rFonts w:hint="eastAsia" w:hAnsi="宋体"/>
        </w:rPr>
        <w:t>法定代表人或委托代理人：(盖章或签字)</w:t>
      </w:r>
    </w:p>
    <w:p>
      <w:pPr>
        <w:pStyle w:val="22"/>
        <w:adjustRightInd w:val="0"/>
        <w:snapToGrid w:val="0"/>
        <w:spacing w:line="360" w:lineRule="auto"/>
        <w:ind w:firstLine="359"/>
        <w:rPr>
          <w:rFonts w:hAnsi="宋体"/>
        </w:rPr>
      </w:pPr>
      <w:r>
        <w:rPr>
          <w:rFonts w:hint="eastAsia" w:hAnsi="宋体"/>
        </w:rPr>
        <w:t>邮政编码：</w:t>
      </w:r>
    </w:p>
    <w:p>
      <w:pPr>
        <w:pStyle w:val="22"/>
        <w:adjustRightInd w:val="0"/>
        <w:snapToGrid w:val="0"/>
        <w:spacing w:line="360" w:lineRule="auto"/>
        <w:ind w:firstLine="359"/>
        <w:rPr>
          <w:rFonts w:hAnsi="宋体"/>
        </w:rPr>
      </w:pPr>
      <w:r>
        <w:rPr>
          <w:rFonts w:hint="eastAsia" w:hAnsi="宋体"/>
        </w:rPr>
        <w:t>电话：</w:t>
      </w:r>
    </w:p>
    <w:p>
      <w:pPr>
        <w:pStyle w:val="22"/>
        <w:adjustRightInd w:val="0"/>
        <w:snapToGrid w:val="0"/>
        <w:spacing w:line="360" w:lineRule="auto"/>
        <w:ind w:firstLine="359"/>
        <w:rPr>
          <w:rFonts w:hAnsi="宋体"/>
        </w:rPr>
      </w:pPr>
      <w:r>
        <w:rPr>
          <w:rFonts w:hint="eastAsia" w:hAnsi="宋体"/>
        </w:rPr>
        <w:t>传真：</w:t>
      </w:r>
    </w:p>
    <w:p>
      <w:pPr>
        <w:pStyle w:val="22"/>
        <w:adjustRightInd w:val="0"/>
        <w:snapToGrid w:val="0"/>
        <w:spacing w:line="360" w:lineRule="auto"/>
        <w:ind w:firstLine="359"/>
        <w:rPr>
          <w:rFonts w:hAnsi="宋体"/>
        </w:rPr>
      </w:pPr>
      <w:r>
        <w:rPr>
          <w:rFonts w:hint="eastAsia" w:hAnsi="宋体"/>
        </w:rPr>
        <w:t>开户银行名称：</w:t>
      </w:r>
    </w:p>
    <w:p>
      <w:pPr>
        <w:pStyle w:val="22"/>
        <w:adjustRightInd w:val="0"/>
        <w:snapToGrid w:val="0"/>
        <w:spacing w:line="360" w:lineRule="auto"/>
        <w:ind w:firstLine="359"/>
        <w:rPr>
          <w:rFonts w:hAnsi="宋体"/>
        </w:rPr>
      </w:pPr>
      <w:r>
        <w:rPr>
          <w:rFonts w:hint="eastAsia" w:hAnsi="宋体"/>
        </w:rPr>
        <w:t>银行帐号：</w:t>
      </w:r>
    </w:p>
    <w:p>
      <w:pPr>
        <w:pStyle w:val="22"/>
        <w:adjustRightInd w:val="0"/>
        <w:snapToGrid w:val="0"/>
        <w:spacing w:line="360" w:lineRule="auto"/>
        <w:ind w:firstLine="359"/>
        <w:rPr>
          <w:rFonts w:hAnsi="宋体"/>
        </w:rPr>
      </w:pPr>
      <w:r>
        <w:rPr>
          <w:rFonts w:hint="eastAsia" w:hAnsi="宋体"/>
        </w:rPr>
        <w:t>开户行地址：</w:t>
      </w:r>
    </w:p>
    <w:p>
      <w:pPr>
        <w:pStyle w:val="22"/>
        <w:adjustRightInd w:val="0"/>
        <w:snapToGrid w:val="0"/>
        <w:spacing w:line="360" w:lineRule="auto"/>
        <w:ind w:firstLine="359"/>
        <w:rPr>
          <w:rFonts w:hAnsi="宋体"/>
        </w:rPr>
      </w:pPr>
      <w:r>
        <w:rPr>
          <w:rFonts w:hint="eastAsia" w:hAnsi="宋体"/>
        </w:rPr>
        <w:t>电话：</w:t>
      </w:r>
    </w:p>
    <w:p>
      <w:pPr>
        <w:pStyle w:val="22"/>
        <w:adjustRightInd w:val="0"/>
        <w:snapToGrid w:val="0"/>
        <w:spacing w:line="360" w:lineRule="auto"/>
        <w:jc w:val="center"/>
        <w:rPr>
          <w:rFonts w:hAnsi="宋体"/>
        </w:rPr>
      </w:pPr>
      <w:r>
        <w:rPr>
          <w:rFonts w:hint="eastAsia" w:hAnsi="宋体"/>
        </w:rPr>
        <w:t xml:space="preserve">                                                                                                 日期： 年 月 日</w:t>
      </w:r>
    </w:p>
    <w:p>
      <w:pPr>
        <w:pStyle w:val="22"/>
        <w:adjustRightInd w:val="0"/>
        <w:snapToGrid w:val="0"/>
        <w:spacing w:line="360" w:lineRule="auto"/>
        <w:rPr>
          <w:rFonts w:hAnsi="宋体"/>
          <w:sz w:val="24"/>
        </w:rPr>
      </w:pPr>
    </w:p>
    <w:p>
      <w:pPr>
        <w:pStyle w:val="22"/>
        <w:adjustRightInd w:val="0"/>
        <w:snapToGrid w:val="0"/>
        <w:spacing w:line="360" w:lineRule="auto"/>
        <w:rPr>
          <w:rFonts w:hAnsi="宋体"/>
          <w:u w:val="single"/>
        </w:rPr>
      </w:pPr>
    </w:p>
    <w:p>
      <w:pPr>
        <w:pStyle w:val="3"/>
        <w:jc w:val="center"/>
        <w:rPr>
          <w:rFonts w:ascii="黑体" w:hAnsi="黑体"/>
          <w:b w:val="0"/>
          <w:snapToGrid w:val="0"/>
          <w:sz w:val="28"/>
          <w:szCs w:val="28"/>
        </w:rPr>
      </w:pPr>
      <w:bookmarkStart w:id="21" w:name="_Toc25480"/>
      <w:r>
        <w:rPr>
          <w:rFonts w:hint="eastAsia" w:ascii="黑体" w:hAnsi="黑体"/>
          <w:b w:val="0"/>
          <w:snapToGrid w:val="0"/>
          <w:sz w:val="28"/>
          <w:szCs w:val="28"/>
        </w:rPr>
        <w:t>二 法定代表人资格证明书</w:t>
      </w:r>
      <w:bookmarkEnd w:id="21"/>
    </w:p>
    <w:p>
      <w:pPr>
        <w:pStyle w:val="22"/>
        <w:adjustRightInd w:val="0"/>
        <w:snapToGrid w:val="0"/>
        <w:spacing w:line="360" w:lineRule="auto"/>
        <w:jc w:val="center"/>
        <w:rPr>
          <w:rFonts w:hAnsi="宋体"/>
        </w:rPr>
      </w:pPr>
    </w:p>
    <w:p>
      <w:pPr>
        <w:pStyle w:val="22"/>
        <w:adjustRightInd w:val="0"/>
        <w:snapToGrid w:val="0"/>
        <w:spacing w:line="360" w:lineRule="auto"/>
        <w:ind w:firstLine="420"/>
        <w:rPr>
          <w:rFonts w:hAnsi="宋体"/>
        </w:rPr>
      </w:pPr>
      <w:r>
        <w:rPr>
          <w:rFonts w:hint="eastAsia" w:hAnsi="宋体"/>
        </w:rPr>
        <w:t>单位名称：</w:t>
      </w:r>
    </w:p>
    <w:p>
      <w:pPr>
        <w:pStyle w:val="22"/>
        <w:adjustRightInd w:val="0"/>
        <w:snapToGrid w:val="0"/>
        <w:spacing w:line="360" w:lineRule="auto"/>
        <w:ind w:firstLine="420"/>
        <w:rPr>
          <w:rFonts w:hAnsi="宋体"/>
        </w:rPr>
      </w:pPr>
      <w:r>
        <w:rPr>
          <w:rFonts w:hint="eastAsia" w:hAnsi="宋体"/>
        </w:rPr>
        <w:t>地址：</w:t>
      </w:r>
    </w:p>
    <w:p>
      <w:pPr>
        <w:pStyle w:val="22"/>
        <w:adjustRightInd w:val="0"/>
        <w:snapToGrid w:val="0"/>
        <w:spacing w:line="360" w:lineRule="auto"/>
        <w:ind w:firstLine="420"/>
        <w:rPr>
          <w:rFonts w:hAnsi="宋体"/>
        </w:rPr>
      </w:pPr>
      <w:r>
        <w:rPr>
          <w:rFonts w:hint="eastAsia" w:hAnsi="宋体"/>
        </w:rPr>
        <w:t>姓名：             性别：          年龄：          职务：</w:t>
      </w:r>
    </w:p>
    <w:p>
      <w:pPr>
        <w:pStyle w:val="22"/>
        <w:adjustRightInd w:val="0"/>
        <w:snapToGrid w:val="0"/>
        <w:spacing w:line="360" w:lineRule="auto"/>
        <w:ind w:firstLine="420"/>
        <w:rPr>
          <w:rFonts w:hAnsi="宋体"/>
        </w:rPr>
      </w:pPr>
      <w:r>
        <w:rPr>
          <w:rFonts w:hint="eastAsia" w:hAnsi="宋体"/>
        </w:rPr>
        <w:t>系 的法定代表人。为施工、竣工和保修的工程，签署上述工程的投标文件、进行合同谈判、签署合同和处理与之有关的一切事务。</w:t>
      </w:r>
    </w:p>
    <w:p>
      <w:pPr>
        <w:pStyle w:val="22"/>
        <w:adjustRightInd w:val="0"/>
        <w:snapToGrid w:val="0"/>
        <w:spacing w:line="360" w:lineRule="auto"/>
        <w:rPr>
          <w:rFonts w:hAnsi="宋体"/>
        </w:rPr>
      </w:pPr>
    </w:p>
    <w:p>
      <w:pPr>
        <w:pStyle w:val="22"/>
        <w:adjustRightInd w:val="0"/>
        <w:snapToGrid w:val="0"/>
        <w:spacing w:line="360" w:lineRule="auto"/>
        <w:ind w:firstLine="420"/>
        <w:rPr>
          <w:rFonts w:hAnsi="宋体"/>
        </w:rPr>
      </w:pPr>
      <w:r>
        <w:rPr>
          <w:rFonts w:hint="eastAsia" w:hAnsi="宋体"/>
        </w:rPr>
        <w:t>特此证明。</w:t>
      </w:r>
    </w:p>
    <w:p>
      <w:pPr>
        <w:pStyle w:val="22"/>
        <w:adjustRightInd w:val="0"/>
        <w:snapToGrid w:val="0"/>
        <w:spacing w:line="360" w:lineRule="auto"/>
        <w:rPr>
          <w:rFonts w:hAnsi="宋体"/>
        </w:rPr>
      </w:pPr>
    </w:p>
    <w:p>
      <w:pPr>
        <w:pStyle w:val="22"/>
        <w:adjustRightInd w:val="0"/>
        <w:snapToGrid w:val="0"/>
        <w:spacing w:line="360" w:lineRule="auto"/>
        <w:ind w:firstLine="3150" w:firstLineChars="1500"/>
        <w:rPr>
          <w:rFonts w:hAnsi="宋体"/>
        </w:rPr>
      </w:pPr>
      <w:r>
        <w:rPr>
          <w:rFonts w:hint="eastAsia" w:hAnsi="宋体"/>
        </w:rPr>
        <w:t>投标人：(盖章)</w:t>
      </w:r>
    </w:p>
    <w:p>
      <w:pPr>
        <w:pStyle w:val="22"/>
        <w:adjustRightInd w:val="0"/>
        <w:snapToGrid w:val="0"/>
        <w:spacing w:line="360" w:lineRule="auto"/>
        <w:rPr>
          <w:rFonts w:hAnsi="宋体"/>
        </w:rPr>
      </w:pPr>
    </w:p>
    <w:p>
      <w:pPr>
        <w:pStyle w:val="22"/>
        <w:adjustRightInd w:val="0"/>
        <w:snapToGrid w:val="0"/>
        <w:spacing w:line="360" w:lineRule="auto"/>
        <w:jc w:val="center"/>
        <w:rPr>
          <w:rFonts w:hAnsi="宋体"/>
        </w:rPr>
      </w:pPr>
      <w:r>
        <w:rPr>
          <w:rFonts w:hint="eastAsia" w:hAnsi="宋体"/>
        </w:rPr>
        <w:t>日期：年月日</w:t>
      </w:r>
    </w:p>
    <w:p>
      <w:pPr>
        <w:pStyle w:val="22"/>
        <w:adjustRightInd w:val="0"/>
        <w:snapToGrid w:val="0"/>
        <w:spacing w:line="360" w:lineRule="auto"/>
        <w:rPr>
          <w:rFonts w:hAnsi="宋体"/>
        </w:rPr>
      </w:pPr>
    </w:p>
    <w:p>
      <w:pPr>
        <w:pStyle w:val="22"/>
        <w:adjustRightInd w:val="0"/>
        <w:snapToGrid w:val="0"/>
        <w:spacing w:line="360" w:lineRule="auto"/>
        <w:jc w:val="center"/>
        <w:rPr>
          <w:rFonts w:hAnsi="宋体"/>
          <w:sz w:val="32"/>
        </w:rPr>
      </w:pPr>
    </w:p>
    <w:p>
      <w:pPr>
        <w:pStyle w:val="22"/>
        <w:adjustRightInd w:val="0"/>
        <w:snapToGrid w:val="0"/>
        <w:spacing w:line="360" w:lineRule="auto"/>
        <w:jc w:val="center"/>
        <w:rPr>
          <w:rFonts w:hAnsi="宋体"/>
          <w:sz w:val="32"/>
        </w:rPr>
      </w:pPr>
    </w:p>
    <w:p>
      <w:pPr>
        <w:pStyle w:val="3"/>
        <w:jc w:val="center"/>
        <w:rPr>
          <w:rFonts w:ascii="黑体" w:hAnsi="黑体"/>
          <w:b w:val="0"/>
          <w:snapToGrid w:val="0"/>
          <w:sz w:val="28"/>
          <w:szCs w:val="28"/>
        </w:rPr>
      </w:pPr>
      <w:bookmarkStart w:id="22" w:name="_Toc20957"/>
      <w:r>
        <w:rPr>
          <w:rFonts w:hint="eastAsia" w:ascii="黑体" w:hAnsi="黑体"/>
          <w:b w:val="0"/>
          <w:snapToGrid w:val="0"/>
          <w:sz w:val="28"/>
          <w:szCs w:val="28"/>
        </w:rPr>
        <w:t>三 授权委托书</w:t>
      </w:r>
      <w:bookmarkEnd w:id="22"/>
    </w:p>
    <w:p>
      <w:pPr>
        <w:pStyle w:val="22"/>
        <w:adjustRightInd w:val="0"/>
        <w:snapToGrid w:val="0"/>
        <w:spacing w:line="360" w:lineRule="auto"/>
        <w:rPr>
          <w:rFonts w:hAnsi="宋体"/>
        </w:rPr>
      </w:pPr>
    </w:p>
    <w:p>
      <w:pPr>
        <w:pStyle w:val="22"/>
        <w:adjustRightInd w:val="0"/>
        <w:snapToGrid w:val="0"/>
        <w:spacing w:line="360" w:lineRule="auto"/>
        <w:ind w:firstLine="420"/>
        <w:rPr>
          <w:rFonts w:hAnsi="宋体"/>
        </w:rPr>
      </w:pPr>
      <w:r>
        <w:rPr>
          <w:rFonts w:hint="eastAsia" w:hAnsi="宋体"/>
        </w:rPr>
        <w:t>本授权委托书声明：我 (姓名)系(投标人名称)的法定代表人，现授权委托 （单位名称）的(姓名)为我公司代理人，参加(招标人)的工程的投标活动。代理人在投标、开标、评标、合同谈判过程中所签署的一切文件和处理与之有关的一切事务，我均予以承认。</w:t>
      </w:r>
    </w:p>
    <w:p>
      <w:pPr>
        <w:pStyle w:val="22"/>
        <w:adjustRightInd w:val="0"/>
        <w:snapToGrid w:val="0"/>
        <w:spacing w:line="360" w:lineRule="auto"/>
        <w:rPr>
          <w:rFonts w:hAnsi="宋体"/>
        </w:rPr>
      </w:pPr>
    </w:p>
    <w:p>
      <w:pPr>
        <w:pStyle w:val="22"/>
        <w:adjustRightInd w:val="0"/>
        <w:snapToGrid w:val="0"/>
        <w:spacing w:line="360" w:lineRule="auto"/>
        <w:ind w:left="412"/>
        <w:rPr>
          <w:rFonts w:hAnsi="宋体"/>
        </w:rPr>
      </w:pPr>
      <w:r>
        <w:rPr>
          <w:rFonts w:hint="eastAsia" w:hAnsi="宋体"/>
        </w:rPr>
        <w:t>代理人无转委权。特此委托。</w:t>
      </w:r>
    </w:p>
    <w:p>
      <w:pPr>
        <w:pStyle w:val="22"/>
        <w:adjustRightInd w:val="0"/>
        <w:snapToGrid w:val="0"/>
        <w:spacing w:line="360" w:lineRule="auto"/>
        <w:ind w:left="412"/>
        <w:rPr>
          <w:rFonts w:hAnsi="宋体"/>
        </w:rPr>
      </w:pPr>
      <w:r>
        <w:rPr>
          <w:rFonts w:hint="eastAsia" w:hAnsi="宋体"/>
        </w:rPr>
        <w:t>代理人：          性别：                 年龄：</w:t>
      </w:r>
    </w:p>
    <w:p>
      <w:pPr>
        <w:pStyle w:val="22"/>
        <w:adjustRightInd w:val="0"/>
        <w:snapToGrid w:val="0"/>
        <w:spacing w:line="360" w:lineRule="auto"/>
        <w:ind w:firstLine="420"/>
        <w:rPr>
          <w:rFonts w:hAnsi="宋体"/>
        </w:rPr>
      </w:pPr>
      <w:r>
        <w:rPr>
          <w:rFonts w:hint="eastAsia" w:hAnsi="宋体"/>
        </w:rPr>
        <w:t>单位：               部门：               职务：</w:t>
      </w:r>
    </w:p>
    <w:p>
      <w:pPr>
        <w:pStyle w:val="22"/>
        <w:adjustRightInd w:val="0"/>
        <w:snapToGrid w:val="0"/>
        <w:spacing w:line="360" w:lineRule="auto"/>
        <w:ind w:firstLine="420"/>
        <w:rPr>
          <w:rFonts w:hAnsi="宋体"/>
        </w:rPr>
      </w:pPr>
      <w:r>
        <w:rPr>
          <w:rFonts w:hint="eastAsia" w:hAnsi="宋体"/>
        </w:rPr>
        <w:t>投标人：(盖章)</w:t>
      </w:r>
    </w:p>
    <w:p>
      <w:pPr>
        <w:pStyle w:val="22"/>
        <w:adjustRightInd w:val="0"/>
        <w:snapToGrid w:val="0"/>
        <w:spacing w:line="360" w:lineRule="auto"/>
        <w:ind w:firstLine="420"/>
        <w:rPr>
          <w:rFonts w:hAnsi="宋体"/>
        </w:rPr>
      </w:pPr>
      <w:r>
        <w:rPr>
          <w:rFonts w:hint="eastAsia" w:hAnsi="宋体"/>
        </w:rPr>
        <w:t>法定代表人：(签字或盖章)</w:t>
      </w:r>
    </w:p>
    <w:p>
      <w:pPr>
        <w:pStyle w:val="22"/>
        <w:adjustRightInd w:val="0"/>
        <w:snapToGrid w:val="0"/>
        <w:spacing w:line="360" w:lineRule="auto"/>
        <w:rPr>
          <w:rFonts w:hAnsi="宋体"/>
        </w:rPr>
      </w:pPr>
    </w:p>
    <w:p>
      <w:pPr>
        <w:pStyle w:val="22"/>
        <w:adjustRightInd w:val="0"/>
        <w:snapToGrid w:val="0"/>
        <w:spacing w:line="360" w:lineRule="auto"/>
        <w:jc w:val="right"/>
        <w:rPr>
          <w:rFonts w:hAnsi="宋体"/>
        </w:rPr>
      </w:pPr>
      <w:r>
        <w:rPr>
          <w:rFonts w:hint="eastAsia" w:hAnsi="宋体"/>
        </w:rPr>
        <w:t xml:space="preserve">  日期：年月日</w:t>
      </w:r>
    </w:p>
    <w:p>
      <w:pPr>
        <w:pStyle w:val="3"/>
        <w:jc w:val="center"/>
        <w:rPr>
          <w:rFonts w:hAnsi="宋体"/>
        </w:rPr>
      </w:pPr>
      <w:bookmarkStart w:id="23" w:name="_Toc6307"/>
      <w:r>
        <w:rPr>
          <w:rFonts w:hint="eastAsia" w:ascii="黑体" w:hAnsi="黑体"/>
          <w:b w:val="0"/>
          <w:snapToGrid w:val="0"/>
          <w:sz w:val="28"/>
          <w:szCs w:val="28"/>
        </w:rPr>
        <w:t>四 企业资质相关资料</w:t>
      </w:r>
      <w:bookmarkEnd w:id="23"/>
    </w:p>
    <w:p>
      <w:pPr>
        <w:pStyle w:val="22"/>
        <w:spacing w:line="360" w:lineRule="auto"/>
        <w:rPr>
          <w:rFonts w:hAnsi="宋体"/>
          <w:sz w:val="24"/>
        </w:rPr>
      </w:pPr>
      <w:r>
        <w:rPr>
          <w:rFonts w:hint="eastAsia" w:hAnsi="宋体"/>
          <w:sz w:val="24"/>
        </w:rPr>
        <w:t>投标人应按照招标文件前附表资质要求提供</w:t>
      </w:r>
    </w:p>
    <w:p>
      <w:pPr>
        <w:pStyle w:val="22"/>
        <w:spacing w:line="360" w:lineRule="auto"/>
        <w:rPr>
          <w:rFonts w:hAnsi="宋体"/>
          <w:sz w:val="24"/>
        </w:rPr>
      </w:pPr>
    </w:p>
    <w:p>
      <w:pPr>
        <w:pStyle w:val="22"/>
        <w:spacing w:line="360" w:lineRule="auto"/>
        <w:rPr>
          <w:rFonts w:hAnsi="宋体"/>
          <w:sz w:val="24"/>
        </w:rPr>
      </w:pPr>
    </w:p>
    <w:p>
      <w:pPr>
        <w:pStyle w:val="22"/>
        <w:spacing w:line="360" w:lineRule="auto"/>
        <w:rPr>
          <w:rFonts w:hAnsi="宋体"/>
          <w:sz w:val="24"/>
        </w:rPr>
      </w:pPr>
    </w:p>
    <w:p>
      <w:pPr>
        <w:pStyle w:val="22"/>
        <w:spacing w:line="360" w:lineRule="auto"/>
        <w:rPr>
          <w:rFonts w:hAnsi="宋体"/>
          <w:sz w:val="24"/>
        </w:rPr>
      </w:pPr>
    </w:p>
    <w:p>
      <w:pPr>
        <w:pStyle w:val="3"/>
        <w:jc w:val="center"/>
        <w:rPr>
          <w:rFonts w:ascii="黑体" w:hAnsi="黑体"/>
          <w:b w:val="0"/>
          <w:snapToGrid w:val="0"/>
          <w:sz w:val="28"/>
          <w:szCs w:val="28"/>
        </w:rPr>
      </w:pPr>
      <w:bookmarkStart w:id="24" w:name="_Toc9968"/>
      <w:r>
        <w:rPr>
          <w:rFonts w:hint="eastAsia" w:ascii="黑体" w:hAnsi="黑体"/>
          <w:b w:val="0"/>
          <w:snapToGrid w:val="0"/>
          <w:sz w:val="28"/>
          <w:szCs w:val="28"/>
        </w:rPr>
        <w:t>五 技术响应方案</w:t>
      </w:r>
      <w:bookmarkEnd w:id="24"/>
    </w:p>
    <w:p>
      <w:r>
        <w:rPr>
          <w:rFonts w:hint="eastAsia"/>
        </w:rPr>
        <w:t>投标人应按照招标文件评分细则要求，逐一对应。</w:t>
      </w:r>
    </w:p>
    <w:p/>
    <w:p>
      <w:pPr>
        <w:pStyle w:val="3"/>
        <w:jc w:val="center"/>
        <w:rPr>
          <w:rFonts w:ascii="黑体" w:hAnsi="黑体"/>
          <w:b w:val="0"/>
          <w:snapToGrid w:val="0"/>
          <w:sz w:val="28"/>
          <w:szCs w:val="28"/>
        </w:rPr>
      </w:pPr>
      <w:bookmarkStart w:id="25" w:name="_Toc19546"/>
      <w:r>
        <w:rPr>
          <w:rFonts w:hint="eastAsia" w:ascii="黑体" w:hAnsi="黑体"/>
          <w:b w:val="0"/>
          <w:snapToGrid w:val="0"/>
          <w:sz w:val="28"/>
          <w:szCs w:val="28"/>
        </w:rPr>
        <w:t>六 商务响应方案</w:t>
      </w:r>
      <w:bookmarkEnd w:id="25"/>
    </w:p>
    <w:p>
      <w:r>
        <w:rPr>
          <w:rFonts w:hint="eastAsia"/>
        </w:rPr>
        <w:t>投标人应按照招标文件评分细则要求，逐一对应。</w:t>
      </w:r>
    </w:p>
    <w:p/>
    <w:p/>
    <w:p>
      <w:pPr>
        <w:pStyle w:val="3"/>
        <w:jc w:val="center"/>
        <w:rPr>
          <w:rFonts w:ascii="黑体" w:hAnsi="黑体"/>
          <w:b w:val="0"/>
          <w:snapToGrid w:val="0"/>
          <w:sz w:val="28"/>
          <w:szCs w:val="28"/>
        </w:rPr>
      </w:pPr>
      <w:bookmarkStart w:id="26" w:name="_Toc17053"/>
      <w:r>
        <w:rPr>
          <w:rFonts w:hint="eastAsia" w:ascii="黑体" w:hAnsi="黑体"/>
          <w:b w:val="0"/>
          <w:snapToGrid w:val="0"/>
          <w:sz w:val="28"/>
          <w:szCs w:val="28"/>
        </w:rPr>
        <w:t>七 售后服务措施</w:t>
      </w:r>
      <w:bookmarkEnd w:id="26"/>
    </w:p>
    <w:p>
      <w:r>
        <w:rPr>
          <w:rFonts w:hint="eastAsia"/>
        </w:rPr>
        <w:t>投标人应按照招标文件评分细则要求，逐一对应。</w:t>
      </w:r>
    </w:p>
    <w:p/>
    <w:p/>
    <w:p>
      <w:pPr>
        <w:pStyle w:val="22"/>
        <w:spacing w:line="360" w:lineRule="auto"/>
        <w:rPr>
          <w:rFonts w:hAnsi="宋体"/>
          <w:sz w:val="24"/>
        </w:rPr>
      </w:pPr>
    </w:p>
    <w:p>
      <w:pPr>
        <w:pStyle w:val="22"/>
        <w:spacing w:line="360" w:lineRule="auto"/>
        <w:rPr>
          <w:rFonts w:hAnsi="宋体"/>
          <w:sz w:val="24"/>
        </w:rPr>
      </w:pPr>
    </w:p>
    <w:sectPr>
      <w:pgSz w:w="11906" w:h="16838"/>
      <w:pgMar w:top="1246" w:right="14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DejaVu Sans">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方正大标宋简体">
    <w:altName w:val="宋体"/>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0"/>
      </w:rPr>
    </w:pPr>
    <w:r>
      <w:rPr>
        <w:rStyle w:val="40"/>
      </w:rPr>
      <w:fldChar w:fldCharType="begin"/>
    </w:r>
    <w:r>
      <w:rPr>
        <w:rStyle w:val="40"/>
      </w:rPr>
      <w:instrText xml:space="preserve">PAGE  </w:instrText>
    </w:r>
    <w:r>
      <w:rPr>
        <w:rStyle w:val="40"/>
      </w:rPr>
      <w:fldChar w:fldCharType="separate"/>
    </w:r>
    <w:r>
      <w:rPr>
        <w:rStyle w:val="40"/>
      </w:rPr>
      <w:t>4</w:t>
    </w:r>
    <w:r>
      <w:rPr>
        <w:rStyle w:val="40"/>
      </w:rPr>
      <w:fldChar w:fldCharType="end"/>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0"/>
      </w:rPr>
    </w:pPr>
    <w:r>
      <w:rPr>
        <w:rStyle w:val="40"/>
      </w:rPr>
      <w:fldChar w:fldCharType="begin"/>
    </w:r>
    <w:r>
      <w:rPr>
        <w:rStyle w:val="40"/>
      </w:rPr>
      <w:instrText xml:space="preserve">PAGE  </w:instrText>
    </w:r>
    <w:r>
      <w:rPr>
        <w:rStyle w:val="40"/>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decimal"/>
      <w:lvlText w:val="%1、"/>
      <w:lvlJc w:val="left"/>
      <w:pPr>
        <w:tabs>
          <w:tab w:val="left" w:pos="1002"/>
        </w:tabs>
        <w:ind w:left="1002" w:hanging="435"/>
      </w:pPr>
    </w:lvl>
  </w:abstractNum>
  <w:abstractNum w:abstractNumId="1">
    <w:nsid w:val="00000007"/>
    <w:multiLevelType w:val="multilevel"/>
    <w:tmpl w:val="00000007"/>
    <w:lvl w:ilvl="0" w:tentative="0">
      <w:start w:val="1"/>
      <w:numFmt w:val="decimal"/>
      <w:lvlText w:val="%1)"/>
      <w:lvlJc w:val="left"/>
      <w:pPr>
        <w:tabs>
          <w:tab w:val="left" w:pos="0"/>
        </w:tabs>
        <w:ind w:left="0" w:hanging="420"/>
      </w:pPr>
    </w:lvl>
    <w:lvl w:ilvl="1" w:tentative="0">
      <w:start w:val="1"/>
      <w:numFmt w:val="lowerLetter"/>
      <w:lvlText w:val="%2)"/>
      <w:lvlJc w:val="left"/>
      <w:pPr>
        <w:tabs>
          <w:tab w:val="left" w:pos="-140"/>
        </w:tabs>
        <w:ind w:left="-140" w:hanging="420"/>
      </w:pPr>
    </w:lvl>
    <w:lvl w:ilvl="2" w:tentative="0">
      <w:start w:val="1"/>
      <w:numFmt w:val="lowerRoman"/>
      <w:lvlText w:val="%3."/>
      <w:lvlJc w:val="right"/>
      <w:pPr>
        <w:tabs>
          <w:tab w:val="left" w:pos="280"/>
        </w:tabs>
        <w:ind w:left="280" w:hanging="420"/>
      </w:pPr>
    </w:lvl>
    <w:lvl w:ilvl="3" w:tentative="0">
      <w:start w:val="1"/>
      <w:numFmt w:val="decimal"/>
      <w:lvlText w:val="%4."/>
      <w:lvlJc w:val="left"/>
      <w:pPr>
        <w:tabs>
          <w:tab w:val="left" w:pos="700"/>
        </w:tabs>
        <w:ind w:left="700" w:hanging="420"/>
      </w:pPr>
    </w:lvl>
    <w:lvl w:ilvl="4" w:tentative="0">
      <w:start w:val="1"/>
      <w:numFmt w:val="lowerLetter"/>
      <w:lvlText w:val="%5)"/>
      <w:lvlJc w:val="left"/>
      <w:pPr>
        <w:tabs>
          <w:tab w:val="left" w:pos="1120"/>
        </w:tabs>
        <w:ind w:left="1120" w:hanging="420"/>
      </w:pPr>
    </w:lvl>
    <w:lvl w:ilvl="5" w:tentative="0">
      <w:start w:val="1"/>
      <w:numFmt w:val="lowerRoman"/>
      <w:lvlText w:val="%6."/>
      <w:lvlJc w:val="right"/>
      <w:pPr>
        <w:tabs>
          <w:tab w:val="left" w:pos="1540"/>
        </w:tabs>
        <w:ind w:left="1540" w:hanging="420"/>
      </w:pPr>
    </w:lvl>
    <w:lvl w:ilvl="6" w:tentative="0">
      <w:start w:val="1"/>
      <w:numFmt w:val="decimal"/>
      <w:lvlText w:val="%7."/>
      <w:lvlJc w:val="left"/>
      <w:pPr>
        <w:tabs>
          <w:tab w:val="left" w:pos="1960"/>
        </w:tabs>
        <w:ind w:left="1960" w:hanging="420"/>
      </w:pPr>
    </w:lvl>
    <w:lvl w:ilvl="7" w:tentative="0">
      <w:start w:val="1"/>
      <w:numFmt w:val="lowerLetter"/>
      <w:lvlText w:val="%8)"/>
      <w:lvlJc w:val="left"/>
      <w:pPr>
        <w:tabs>
          <w:tab w:val="left" w:pos="2380"/>
        </w:tabs>
        <w:ind w:left="2380" w:hanging="420"/>
      </w:pPr>
    </w:lvl>
    <w:lvl w:ilvl="8" w:tentative="0">
      <w:start w:val="1"/>
      <w:numFmt w:val="lowerRoman"/>
      <w:lvlText w:val="%9."/>
      <w:lvlJc w:val="right"/>
      <w:pPr>
        <w:tabs>
          <w:tab w:val="left" w:pos="2800"/>
        </w:tabs>
        <w:ind w:left="2800" w:hanging="420"/>
      </w:pPr>
    </w:lvl>
  </w:abstractNum>
  <w:abstractNum w:abstractNumId="2">
    <w:nsid w:val="00000008"/>
    <w:multiLevelType w:val="singleLevel"/>
    <w:tmpl w:val="00000008"/>
    <w:lvl w:ilvl="0" w:tentative="0">
      <w:start w:val="1"/>
      <w:numFmt w:val="decimal"/>
      <w:lvlText w:val="%1、"/>
      <w:lvlJc w:val="left"/>
      <w:pPr>
        <w:tabs>
          <w:tab w:val="left" w:pos="1002"/>
        </w:tabs>
        <w:ind w:left="1002" w:hanging="435"/>
      </w:pPr>
    </w:lvl>
  </w:abstractNum>
  <w:abstractNum w:abstractNumId="3">
    <w:nsid w:val="0000000A"/>
    <w:multiLevelType w:val="singleLevel"/>
    <w:tmpl w:val="0000000A"/>
    <w:lvl w:ilvl="0" w:tentative="0">
      <w:start w:val="1"/>
      <w:numFmt w:val="decimal"/>
      <w:lvlText w:val="%1、"/>
      <w:lvlJc w:val="left"/>
      <w:pPr>
        <w:tabs>
          <w:tab w:val="left" w:pos="1002"/>
        </w:tabs>
        <w:ind w:left="1002" w:hanging="435"/>
      </w:pPr>
    </w:lvl>
  </w:abstractNum>
  <w:abstractNum w:abstractNumId="4">
    <w:nsid w:val="0000000E"/>
    <w:multiLevelType w:val="singleLevel"/>
    <w:tmpl w:val="0000000E"/>
    <w:lvl w:ilvl="0" w:tentative="0">
      <w:start w:val="1"/>
      <w:numFmt w:val="decimal"/>
      <w:lvlText w:val="%1、"/>
      <w:lvlJc w:val="left"/>
      <w:pPr>
        <w:tabs>
          <w:tab w:val="left" w:pos="1017"/>
        </w:tabs>
        <w:ind w:left="1017" w:hanging="450"/>
      </w:pPr>
    </w:lvl>
  </w:abstractNum>
  <w:abstractNum w:abstractNumId="5">
    <w:nsid w:val="0000000F"/>
    <w:multiLevelType w:val="singleLevel"/>
    <w:tmpl w:val="0000000F"/>
    <w:lvl w:ilvl="0" w:tentative="0">
      <w:start w:val="1"/>
      <w:numFmt w:val="decimal"/>
      <w:lvlText w:val="%1、"/>
      <w:lvlJc w:val="left"/>
      <w:pPr>
        <w:tabs>
          <w:tab w:val="left" w:pos="1002"/>
        </w:tabs>
        <w:ind w:left="1002" w:hanging="435"/>
      </w:pPr>
    </w:lvl>
  </w:abstractNum>
  <w:abstractNum w:abstractNumId="6">
    <w:nsid w:val="00000011"/>
    <w:multiLevelType w:val="singleLevel"/>
    <w:tmpl w:val="00000011"/>
    <w:lvl w:ilvl="0" w:tentative="0">
      <w:start w:val="1"/>
      <w:numFmt w:val="decimal"/>
      <w:lvlText w:val="%1、"/>
      <w:lvlJc w:val="left"/>
      <w:pPr>
        <w:tabs>
          <w:tab w:val="left" w:pos="1002"/>
        </w:tabs>
        <w:ind w:left="1002" w:hanging="435"/>
      </w:pPr>
    </w:lvl>
  </w:abstractNum>
  <w:abstractNum w:abstractNumId="7">
    <w:nsid w:val="00000012"/>
    <w:multiLevelType w:val="singleLevel"/>
    <w:tmpl w:val="00000012"/>
    <w:lvl w:ilvl="0" w:tentative="0">
      <w:start w:val="1"/>
      <w:numFmt w:val="decimal"/>
      <w:lvlText w:val="%1、"/>
      <w:lvlJc w:val="left"/>
      <w:pPr>
        <w:tabs>
          <w:tab w:val="left" w:pos="1002"/>
        </w:tabs>
        <w:ind w:left="1002" w:hanging="435"/>
      </w:pPr>
    </w:lvl>
  </w:abstractNum>
  <w:abstractNum w:abstractNumId="8">
    <w:nsid w:val="00000016"/>
    <w:multiLevelType w:val="singleLevel"/>
    <w:tmpl w:val="00000016"/>
    <w:lvl w:ilvl="0" w:tentative="0">
      <w:start w:val="1"/>
      <w:numFmt w:val="decimal"/>
      <w:lvlText w:val="%1、"/>
      <w:lvlJc w:val="left"/>
      <w:pPr>
        <w:tabs>
          <w:tab w:val="left" w:pos="1002"/>
        </w:tabs>
        <w:ind w:left="1002" w:hanging="435"/>
      </w:pPr>
    </w:lvl>
  </w:abstractNum>
  <w:abstractNum w:abstractNumId="9">
    <w:nsid w:val="18F11C0C"/>
    <w:multiLevelType w:val="multilevel"/>
    <w:tmpl w:val="18F11C0C"/>
    <w:lvl w:ilvl="0" w:tentative="0">
      <w:start w:val="1"/>
      <w:numFmt w:val="decimal"/>
      <w:lvlText w:val="%1、"/>
      <w:lvlJc w:val="left"/>
      <w:pPr>
        <w:ind w:left="394" w:hanging="375"/>
      </w:pPr>
      <w:rPr>
        <w:rFonts w:hint="default"/>
      </w:rPr>
    </w:lvl>
    <w:lvl w:ilvl="1" w:tentative="0">
      <w:start w:val="1"/>
      <w:numFmt w:val="lowerLetter"/>
      <w:lvlText w:val="%2)"/>
      <w:lvlJc w:val="left"/>
      <w:pPr>
        <w:ind w:left="859" w:hanging="420"/>
      </w:pPr>
    </w:lvl>
    <w:lvl w:ilvl="2" w:tentative="0">
      <w:start w:val="1"/>
      <w:numFmt w:val="lowerRoman"/>
      <w:lvlText w:val="%3."/>
      <w:lvlJc w:val="right"/>
      <w:pPr>
        <w:ind w:left="1279" w:hanging="420"/>
      </w:pPr>
    </w:lvl>
    <w:lvl w:ilvl="3" w:tentative="0">
      <w:start w:val="1"/>
      <w:numFmt w:val="decimal"/>
      <w:lvlText w:val="%4."/>
      <w:lvlJc w:val="left"/>
      <w:pPr>
        <w:ind w:left="1699" w:hanging="420"/>
      </w:pPr>
    </w:lvl>
    <w:lvl w:ilvl="4" w:tentative="0">
      <w:start w:val="1"/>
      <w:numFmt w:val="lowerLetter"/>
      <w:lvlText w:val="%5)"/>
      <w:lvlJc w:val="left"/>
      <w:pPr>
        <w:ind w:left="2119" w:hanging="420"/>
      </w:pPr>
    </w:lvl>
    <w:lvl w:ilvl="5" w:tentative="0">
      <w:start w:val="1"/>
      <w:numFmt w:val="lowerRoman"/>
      <w:lvlText w:val="%6."/>
      <w:lvlJc w:val="right"/>
      <w:pPr>
        <w:ind w:left="2539" w:hanging="420"/>
      </w:pPr>
    </w:lvl>
    <w:lvl w:ilvl="6" w:tentative="0">
      <w:start w:val="1"/>
      <w:numFmt w:val="decimal"/>
      <w:lvlText w:val="%7."/>
      <w:lvlJc w:val="left"/>
      <w:pPr>
        <w:ind w:left="2959" w:hanging="420"/>
      </w:pPr>
    </w:lvl>
    <w:lvl w:ilvl="7" w:tentative="0">
      <w:start w:val="1"/>
      <w:numFmt w:val="lowerLetter"/>
      <w:lvlText w:val="%8)"/>
      <w:lvlJc w:val="left"/>
      <w:pPr>
        <w:ind w:left="3379" w:hanging="420"/>
      </w:pPr>
    </w:lvl>
    <w:lvl w:ilvl="8" w:tentative="0">
      <w:start w:val="1"/>
      <w:numFmt w:val="lowerRoman"/>
      <w:lvlText w:val="%9."/>
      <w:lvlJc w:val="right"/>
      <w:pPr>
        <w:ind w:left="3799" w:hanging="420"/>
      </w:pPr>
    </w:lvl>
  </w:abstractNum>
  <w:abstractNum w:abstractNumId="10">
    <w:nsid w:val="54CB36F2"/>
    <w:multiLevelType w:val="multilevel"/>
    <w:tmpl w:val="54CB36F2"/>
    <w:lvl w:ilvl="0" w:tentative="0">
      <w:start w:val="1"/>
      <w:numFmt w:val="decimal"/>
      <w:lvlText w:val="%1、"/>
      <w:lvlJc w:val="left"/>
      <w:pPr>
        <w:ind w:left="945" w:hanging="360"/>
      </w:pPr>
      <w:rPr>
        <w:rFonts w:hint="default"/>
      </w:rPr>
    </w:lvl>
    <w:lvl w:ilvl="1" w:tentative="0">
      <w:start w:val="1"/>
      <w:numFmt w:val="lowerLetter"/>
      <w:lvlText w:val="%2)"/>
      <w:lvlJc w:val="left"/>
      <w:pPr>
        <w:ind w:left="1425" w:hanging="420"/>
      </w:pPr>
    </w:lvl>
    <w:lvl w:ilvl="2" w:tentative="0">
      <w:start w:val="1"/>
      <w:numFmt w:val="lowerRoman"/>
      <w:lvlText w:val="%3."/>
      <w:lvlJc w:val="right"/>
      <w:pPr>
        <w:ind w:left="1845" w:hanging="420"/>
      </w:pPr>
    </w:lvl>
    <w:lvl w:ilvl="3" w:tentative="0">
      <w:start w:val="1"/>
      <w:numFmt w:val="decimal"/>
      <w:lvlText w:val="%4."/>
      <w:lvlJc w:val="left"/>
      <w:pPr>
        <w:ind w:left="2265" w:hanging="420"/>
      </w:pPr>
    </w:lvl>
    <w:lvl w:ilvl="4" w:tentative="0">
      <w:start w:val="1"/>
      <w:numFmt w:val="lowerLetter"/>
      <w:lvlText w:val="%5)"/>
      <w:lvlJc w:val="left"/>
      <w:pPr>
        <w:ind w:left="2685" w:hanging="420"/>
      </w:pPr>
    </w:lvl>
    <w:lvl w:ilvl="5" w:tentative="0">
      <w:start w:val="1"/>
      <w:numFmt w:val="lowerRoman"/>
      <w:lvlText w:val="%6."/>
      <w:lvlJc w:val="right"/>
      <w:pPr>
        <w:ind w:left="3105" w:hanging="420"/>
      </w:pPr>
    </w:lvl>
    <w:lvl w:ilvl="6" w:tentative="0">
      <w:start w:val="1"/>
      <w:numFmt w:val="decimal"/>
      <w:lvlText w:val="%7."/>
      <w:lvlJc w:val="left"/>
      <w:pPr>
        <w:ind w:left="3525" w:hanging="420"/>
      </w:pPr>
    </w:lvl>
    <w:lvl w:ilvl="7" w:tentative="0">
      <w:start w:val="1"/>
      <w:numFmt w:val="lowerLetter"/>
      <w:lvlText w:val="%8)"/>
      <w:lvlJc w:val="left"/>
      <w:pPr>
        <w:ind w:left="3945" w:hanging="420"/>
      </w:pPr>
    </w:lvl>
    <w:lvl w:ilvl="8" w:tentative="0">
      <w:start w:val="1"/>
      <w:numFmt w:val="lowerRoman"/>
      <w:lvlText w:val="%9."/>
      <w:lvlJc w:val="right"/>
      <w:pPr>
        <w:ind w:left="4365" w:hanging="420"/>
      </w:pPr>
    </w:lvl>
  </w:abstractNum>
  <w:num w:numId="1">
    <w:abstractNumId w:val="9"/>
  </w:num>
  <w:num w:numId="2">
    <w:abstractNumId w:val="4"/>
    <w:lvlOverride w:ilvl="0">
      <w:startOverride w:val="1"/>
    </w:lvlOverride>
  </w:num>
  <w:num w:numId="3">
    <w:abstractNumId w:val="3"/>
    <w:lvlOverride w:ilvl="0">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num>
  <w:num w:numId="6">
    <w:abstractNumId w:val="6"/>
    <w:lvlOverride w:ilvl="0">
      <w:startOverride w:val="1"/>
    </w:lvlOverride>
  </w:num>
  <w:num w:numId="7">
    <w:abstractNumId w:val="7"/>
    <w:lvlOverride w:ilvl="0">
      <w:startOverride w:val="1"/>
    </w:lvlOverride>
  </w:num>
  <w:num w:numId="8">
    <w:abstractNumId w:val="5"/>
    <w:lvlOverride w:ilvl="0">
      <w:startOverride w:val="1"/>
    </w:lvlOverride>
  </w:num>
  <w:num w:numId="9">
    <w:abstractNumId w:val="10"/>
  </w:num>
  <w:num w:numId="10">
    <w:abstractNumId w:val="2"/>
    <w:lvlOverride w:ilvl="0">
      <w:startOverride w:val="1"/>
    </w:lvlOverride>
  </w:num>
  <w:num w:numId="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9242C"/>
    <w:rsid w:val="000065FE"/>
    <w:rsid w:val="0000677E"/>
    <w:rsid w:val="00013098"/>
    <w:rsid w:val="00013BFE"/>
    <w:rsid w:val="00017F61"/>
    <w:rsid w:val="00020B5E"/>
    <w:rsid w:val="00022F55"/>
    <w:rsid w:val="00024221"/>
    <w:rsid w:val="00024C3D"/>
    <w:rsid w:val="00027BB0"/>
    <w:rsid w:val="00032AD8"/>
    <w:rsid w:val="00036025"/>
    <w:rsid w:val="00036928"/>
    <w:rsid w:val="00037F43"/>
    <w:rsid w:val="00041CEB"/>
    <w:rsid w:val="00046BCD"/>
    <w:rsid w:val="000517D7"/>
    <w:rsid w:val="00052A86"/>
    <w:rsid w:val="000550D5"/>
    <w:rsid w:val="00061925"/>
    <w:rsid w:val="00064EF4"/>
    <w:rsid w:val="00066407"/>
    <w:rsid w:val="00067D8E"/>
    <w:rsid w:val="00070FF6"/>
    <w:rsid w:val="000710A1"/>
    <w:rsid w:val="00072A2B"/>
    <w:rsid w:val="00072D58"/>
    <w:rsid w:val="000730B3"/>
    <w:rsid w:val="00075010"/>
    <w:rsid w:val="00077CFD"/>
    <w:rsid w:val="000828A2"/>
    <w:rsid w:val="00085C47"/>
    <w:rsid w:val="00086CC3"/>
    <w:rsid w:val="000949CE"/>
    <w:rsid w:val="000A2365"/>
    <w:rsid w:val="000A2790"/>
    <w:rsid w:val="000A2DD9"/>
    <w:rsid w:val="000B0253"/>
    <w:rsid w:val="000B0B9A"/>
    <w:rsid w:val="000C4068"/>
    <w:rsid w:val="000C4935"/>
    <w:rsid w:val="000C5671"/>
    <w:rsid w:val="000D24C9"/>
    <w:rsid w:val="000D4937"/>
    <w:rsid w:val="000D6D4E"/>
    <w:rsid w:val="000D7960"/>
    <w:rsid w:val="000F07A6"/>
    <w:rsid w:val="000F740E"/>
    <w:rsid w:val="001000B5"/>
    <w:rsid w:val="00105B82"/>
    <w:rsid w:val="001074EF"/>
    <w:rsid w:val="00114451"/>
    <w:rsid w:val="00116E86"/>
    <w:rsid w:val="0012632C"/>
    <w:rsid w:val="00130293"/>
    <w:rsid w:val="00131175"/>
    <w:rsid w:val="0013490F"/>
    <w:rsid w:val="00134C99"/>
    <w:rsid w:val="00135901"/>
    <w:rsid w:val="0013649C"/>
    <w:rsid w:val="0014054B"/>
    <w:rsid w:val="0014176A"/>
    <w:rsid w:val="00142A88"/>
    <w:rsid w:val="001435E1"/>
    <w:rsid w:val="00146012"/>
    <w:rsid w:val="001501D3"/>
    <w:rsid w:val="00152D44"/>
    <w:rsid w:val="001678A7"/>
    <w:rsid w:val="0017675C"/>
    <w:rsid w:val="00176F92"/>
    <w:rsid w:val="00177927"/>
    <w:rsid w:val="00180459"/>
    <w:rsid w:val="00181727"/>
    <w:rsid w:val="0018631F"/>
    <w:rsid w:val="00190FBA"/>
    <w:rsid w:val="00192E0F"/>
    <w:rsid w:val="001A0181"/>
    <w:rsid w:val="001A12F2"/>
    <w:rsid w:val="001A5FFA"/>
    <w:rsid w:val="001A7CAF"/>
    <w:rsid w:val="001B4091"/>
    <w:rsid w:val="001D1CE7"/>
    <w:rsid w:val="001D1F9E"/>
    <w:rsid w:val="001D4B6C"/>
    <w:rsid w:val="001D7463"/>
    <w:rsid w:val="001D7C6F"/>
    <w:rsid w:val="001E3EC3"/>
    <w:rsid w:val="001E5917"/>
    <w:rsid w:val="001E5AC6"/>
    <w:rsid w:val="001F2360"/>
    <w:rsid w:val="001F4214"/>
    <w:rsid w:val="001F7E03"/>
    <w:rsid w:val="00203A98"/>
    <w:rsid w:val="002040C7"/>
    <w:rsid w:val="00213626"/>
    <w:rsid w:val="00220D0F"/>
    <w:rsid w:val="00232164"/>
    <w:rsid w:val="0023410A"/>
    <w:rsid w:val="0023412A"/>
    <w:rsid w:val="002368AB"/>
    <w:rsid w:val="002369EC"/>
    <w:rsid w:val="002376BE"/>
    <w:rsid w:val="0024098A"/>
    <w:rsid w:val="00247B74"/>
    <w:rsid w:val="00250839"/>
    <w:rsid w:val="00250D14"/>
    <w:rsid w:val="002511CE"/>
    <w:rsid w:val="002514DF"/>
    <w:rsid w:val="0025196B"/>
    <w:rsid w:val="0025784A"/>
    <w:rsid w:val="00261215"/>
    <w:rsid w:val="00263416"/>
    <w:rsid w:val="00267D31"/>
    <w:rsid w:val="00267F29"/>
    <w:rsid w:val="002743A0"/>
    <w:rsid w:val="00274869"/>
    <w:rsid w:val="00276DD8"/>
    <w:rsid w:val="0028353F"/>
    <w:rsid w:val="00284538"/>
    <w:rsid w:val="00285348"/>
    <w:rsid w:val="00286E9B"/>
    <w:rsid w:val="00287C5E"/>
    <w:rsid w:val="00291760"/>
    <w:rsid w:val="00293BA5"/>
    <w:rsid w:val="002A5966"/>
    <w:rsid w:val="002A6297"/>
    <w:rsid w:val="002B1284"/>
    <w:rsid w:val="002B32A3"/>
    <w:rsid w:val="002B428D"/>
    <w:rsid w:val="002B4417"/>
    <w:rsid w:val="002B5BEB"/>
    <w:rsid w:val="002B5DDF"/>
    <w:rsid w:val="002B6127"/>
    <w:rsid w:val="002B679A"/>
    <w:rsid w:val="002C5E08"/>
    <w:rsid w:val="002D0239"/>
    <w:rsid w:val="002D0373"/>
    <w:rsid w:val="002D42EB"/>
    <w:rsid w:val="002D6DD1"/>
    <w:rsid w:val="002E1F9E"/>
    <w:rsid w:val="002E2514"/>
    <w:rsid w:val="002E799B"/>
    <w:rsid w:val="002F1985"/>
    <w:rsid w:val="002F496B"/>
    <w:rsid w:val="002F4F1B"/>
    <w:rsid w:val="002F71F7"/>
    <w:rsid w:val="00301AF8"/>
    <w:rsid w:val="00305904"/>
    <w:rsid w:val="003104CD"/>
    <w:rsid w:val="00312F90"/>
    <w:rsid w:val="00314395"/>
    <w:rsid w:val="00324ECA"/>
    <w:rsid w:val="00325981"/>
    <w:rsid w:val="003261D7"/>
    <w:rsid w:val="00330511"/>
    <w:rsid w:val="00330EEC"/>
    <w:rsid w:val="00331A2B"/>
    <w:rsid w:val="0033415D"/>
    <w:rsid w:val="00334727"/>
    <w:rsid w:val="00335815"/>
    <w:rsid w:val="003367A5"/>
    <w:rsid w:val="003367D6"/>
    <w:rsid w:val="00337B67"/>
    <w:rsid w:val="00340A66"/>
    <w:rsid w:val="003413FF"/>
    <w:rsid w:val="00341EC1"/>
    <w:rsid w:val="0035264E"/>
    <w:rsid w:val="003573CE"/>
    <w:rsid w:val="0036179C"/>
    <w:rsid w:val="0036235A"/>
    <w:rsid w:val="003634F0"/>
    <w:rsid w:val="003638BE"/>
    <w:rsid w:val="00363B50"/>
    <w:rsid w:val="00364F4F"/>
    <w:rsid w:val="00366CEC"/>
    <w:rsid w:val="00374C88"/>
    <w:rsid w:val="003750E2"/>
    <w:rsid w:val="0037616C"/>
    <w:rsid w:val="0037676D"/>
    <w:rsid w:val="0038191A"/>
    <w:rsid w:val="0038686A"/>
    <w:rsid w:val="00390347"/>
    <w:rsid w:val="003923A6"/>
    <w:rsid w:val="003948D4"/>
    <w:rsid w:val="0039672D"/>
    <w:rsid w:val="003A27A4"/>
    <w:rsid w:val="003A2AB6"/>
    <w:rsid w:val="003A70A0"/>
    <w:rsid w:val="003A747F"/>
    <w:rsid w:val="003B1857"/>
    <w:rsid w:val="003C6543"/>
    <w:rsid w:val="003D1F35"/>
    <w:rsid w:val="003D3C78"/>
    <w:rsid w:val="003D493E"/>
    <w:rsid w:val="003D4BE8"/>
    <w:rsid w:val="003D585C"/>
    <w:rsid w:val="003D6405"/>
    <w:rsid w:val="003D722A"/>
    <w:rsid w:val="003E266C"/>
    <w:rsid w:val="003E3892"/>
    <w:rsid w:val="003E3DC4"/>
    <w:rsid w:val="003E4763"/>
    <w:rsid w:val="003E60B0"/>
    <w:rsid w:val="003E65D6"/>
    <w:rsid w:val="003F1990"/>
    <w:rsid w:val="003F33C8"/>
    <w:rsid w:val="003F340F"/>
    <w:rsid w:val="003F50BD"/>
    <w:rsid w:val="003F7886"/>
    <w:rsid w:val="00400C8A"/>
    <w:rsid w:val="00401BE0"/>
    <w:rsid w:val="00410D20"/>
    <w:rsid w:val="0041230C"/>
    <w:rsid w:val="00412849"/>
    <w:rsid w:val="00412A7D"/>
    <w:rsid w:val="004174A4"/>
    <w:rsid w:val="00417997"/>
    <w:rsid w:val="0042310C"/>
    <w:rsid w:val="004235D3"/>
    <w:rsid w:val="00424BA6"/>
    <w:rsid w:val="00425686"/>
    <w:rsid w:val="00426655"/>
    <w:rsid w:val="0043009D"/>
    <w:rsid w:val="00430717"/>
    <w:rsid w:val="00431B3A"/>
    <w:rsid w:val="004363DC"/>
    <w:rsid w:val="0043736C"/>
    <w:rsid w:val="00440AF4"/>
    <w:rsid w:val="00441B77"/>
    <w:rsid w:val="00442F96"/>
    <w:rsid w:val="00453078"/>
    <w:rsid w:val="00457E92"/>
    <w:rsid w:val="00465D46"/>
    <w:rsid w:val="00466DF7"/>
    <w:rsid w:val="0047133C"/>
    <w:rsid w:val="00472202"/>
    <w:rsid w:val="00475E4C"/>
    <w:rsid w:val="00483C15"/>
    <w:rsid w:val="004867E4"/>
    <w:rsid w:val="00490277"/>
    <w:rsid w:val="00490CB9"/>
    <w:rsid w:val="004912C1"/>
    <w:rsid w:val="0049242C"/>
    <w:rsid w:val="004928CB"/>
    <w:rsid w:val="004957EF"/>
    <w:rsid w:val="0049748A"/>
    <w:rsid w:val="00497A11"/>
    <w:rsid w:val="004A17CF"/>
    <w:rsid w:val="004A4010"/>
    <w:rsid w:val="004B1A5A"/>
    <w:rsid w:val="004B35B3"/>
    <w:rsid w:val="004B3EEE"/>
    <w:rsid w:val="004B4F3B"/>
    <w:rsid w:val="004B5880"/>
    <w:rsid w:val="004B5F60"/>
    <w:rsid w:val="004B5FD4"/>
    <w:rsid w:val="004C2103"/>
    <w:rsid w:val="004C5F18"/>
    <w:rsid w:val="004C638B"/>
    <w:rsid w:val="004C6707"/>
    <w:rsid w:val="004C76C9"/>
    <w:rsid w:val="004D2058"/>
    <w:rsid w:val="004D27B8"/>
    <w:rsid w:val="004D3A81"/>
    <w:rsid w:val="004E1C06"/>
    <w:rsid w:val="004E4FFE"/>
    <w:rsid w:val="004E734F"/>
    <w:rsid w:val="004F6099"/>
    <w:rsid w:val="00501526"/>
    <w:rsid w:val="0050214C"/>
    <w:rsid w:val="00510D0A"/>
    <w:rsid w:val="00510E64"/>
    <w:rsid w:val="005160B9"/>
    <w:rsid w:val="00524C13"/>
    <w:rsid w:val="00526080"/>
    <w:rsid w:val="00526309"/>
    <w:rsid w:val="005271CD"/>
    <w:rsid w:val="00531523"/>
    <w:rsid w:val="00532996"/>
    <w:rsid w:val="00532AB7"/>
    <w:rsid w:val="00534AD8"/>
    <w:rsid w:val="005371BF"/>
    <w:rsid w:val="00541BD5"/>
    <w:rsid w:val="0054528D"/>
    <w:rsid w:val="00550E66"/>
    <w:rsid w:val="00551CAA"/>
    <w:rsid w:val="00556B19"/>
    <w:rsid w:val="005667EF"/>
    <w:rsid w:val="00567DFC"/>
    <w:rsid w:val="005768CD"/>
    <w:rsid w:val="0058199D"/>
    <w:rsid w:val="00583D85"/>
    <w:rsid w:val="00585C4E"/>
    <w:rsid w:val="00591F9C"/>
    <w:rsid w:val="00592DF6"/>
    <w:rsid w:val="00593A23"/>
    <w:rsid w:val="00594E2E"/>
    <w:rsid w:val="00594FE6"/>
    <w:rsid w:val="00596620"/>
    <w:rsid w:val="005974E4"/>
    <w:rsid w:val="00597BD9"/>
    <w:rsid w:val="00597D23"/>
    <w:rsid w:val="005A406D"/>
    <w:rsid w:val="005B0A77"/>
    <w:rsid w:val="005B262E"/>
    <w:rsid w:val="005B3A41"/>
    <w:rsid w:val="005C20AC"/>
    <w:rsid w:val="005D18CB"/>
    <w:rsid w:val="005D23D4"/>
    <w:rsid w:val="005D39B2"/>
    <w:rsid w:val="005D5604"/>
    <w:rsid w:val="005E1030"/>
    <w:rsid w:val="005E26ED"/>
    <w:rsid w:val="005F4012"/>
    <w:rsid w:val="005F51EB"/>
    <w:rsid w:val="005F58B0"/>
    <w:rsid w:val="005F774B"/>
    <w:rsid w:val="00602443"/>
    <w:rsid w:val="006029C9"/>
    <w:rsid w:val="00604609"/>
    <w:rsid w:val="00604989"/>
    <w:rsid w:val="00616D32"/>
    <w:rsid w:val="00623788"/>
    <w:rsid w:val="00623DE2"/>
    <w:rsid w:val="0062431A"/>
    <w:rsid w:val="00626A76"/>
    <w:rsid w:val="00631221"/>
    <w:rsid w:val="00635855"/>
    <w:rsid w:val="006369CC"/>
    <w:rsid w:val="006427A6"/>
    <w:rsid w:val="0065001A"/>
    <w:rsid w:val="00650D73"/>
    <w:rsid w:val="006531F7"/>
    <w:rsid w:val="006618CC"/>
    <w:rsid w:val="0066472E"/>
    <w:rsid w:val="00665E33"/>
    <w:rsid w:val="006663D7"/>
    <w:rsid w:val="00667E5F"/>
    <w:rsid w:val="00670AAC"/>
    <w:rsid w:val="006721AF"/>
    <w:rsid w:val="0067311B"/>
    <w:rsid w:val="00675363"/>
    <w:rsid w:val="00684DEA"/>
    <w:rsid w:val="006907C6"/>
    <w:rsid w:val="00692E0A"/>
    <w:rsid w:val="006939D8"/>
    <w:rsid w:val="006A3CF5"/>
    <w:rsid w:val="006A4031"/>
    <w:rsid w:val="006A544B"/>
    <w:rsid w:val="006B05F6"/>
    <w:rsid w:val="006B5757"/>
    <w:rsid w:val="006B5BC1"/>
    <w:rsid w:val="006B6909"/>
    <w:rsid w:val="006B6F6B"/>
    <w:rsid w:val="006C0EE2"/>
    <w:rsid w:val="006C1116"/>
    <w:rsid w:val="006C1221"/>
    <w:rsid w:val="006C5E44"/>
    <w:rsid w:val="006C7534"/>
    <w:rsid w:val="006D2861"/>
    <w:rsid w:val="006D3306"/>
    <w:rsid w:val="006E1191"/>
    <w:rsid w:val="006E197E"/>
    <w:rsid w:val="006E24B4"/>
    <w:rsid w:val="006E4AC1"/>
    <w:rsid w:val="006E6971"/>
    <w:rsid w:val="006F277B"/>
    <w:rsid w:val="006F4B1B"/>
    <w:rsid w:val="006F5300"/>
    <w:rsid w:val="00700CD8"/>
    <w:rsid w:val="0070295B"/>
    <w:rsid w:val="00702D37"/>
    <w:rsid w:val="00703AEC"/>
    <w:rsid w:val="00710E62"/>
    <w:rsid w:val="00711396"/>
    <w:rsid w:val="0071180B"/>
    <w:rsid w:val="00712E8B"/>
    <w:rsid w:val="00713595"/>
    <w:rsid w:val="007141EE"/>
    <w:rsid w:val="00714FAD"/>
    <w:rsid w:val="007153F2"/>
    <w:rsid w:val="0071570B"/>
    <w:rsid w:val="00717B8D"/>
    <w:rsid w:val="0072090A"/>
    <w:rsid w:val="00722F0E"/>
    <w:rsid w:val="0072587C"/>
    <w:rsid w:val="00725E68"/>
    <w:rsid w:val="007273B1"/>
    <w:rsid w:val="0073193F"/>
    <w:rsid w:val="007361DD"/>
    <w:rsid w:val="007475B4"/>
    <w:rsid w:val="0075619A"/>
    <w:rsid w:val="00763C0F"/>
    <w:rsid w:val="007655E2"/>
    <w:rsid w:val="0076680C"/>
    <w:rsid w:val="0077023D"/>
    <w:rsid w:val="00770719"/>
    <w:rsid w:val="00770F3D"/>
    <w:rsid w:val="00772CAB"/>
    <w:rsid w:val="0077582A"/>
    <w:rsid w:val="007769F7"/>
    <w:rsid w:val="0078126F"/>
    <w:rsid w:val="00781D96"/>
    <w:rsid w:val="00783A0E"/>
    <w:rsid w:val="00786D22"/>
    <w:rsid w:val="00787346"/>
    <w:rsid w:val="007902C2"/>
    <w:rsid w:val="007906FE"/>
    <w:rsid w:val="00790F86"/>
    <w:rsid w:val="00791446"/>
    <w:rsid w:val="00792686"/>
    <w:rsid w:val="007A08F2"/>
    <w:rsid w:val="007A1289"/>
    <w:rsid w:val="007A1FD1"/>
    <w:rsid w:val="007A3D7E"/>
    <w:rsid w:val="007A4669"/>
    <w:rsid w:val="007A4707"/>
    <w:rsid w:val="007A48D1"/>
    <w:rsid w:val="007A4EAB"/>
    <w:rsid w:val="007B227E"/>
    <w:rsid w:val="007B38D3"/>
    <w:rsid w:val="007B3ED8"/>
    <w:rsid w:val="007B433E"/>
    <w:rsid w:val="007C18BA"/>
    <w:rsid w:val="007C1C65"/>
    <w:rsid w:val="007C4360"/>
    <w:rsid w:val="007C471C"/>
    <w:rsid w:val="007C49F1"/>
    <w:rsid w:val="007D2491"/>
    <w:rsid w:val="007D562A"/>
    <w:rsid w:val="007E2F9A"/>
    <w:rsid w:val="007F0B7B"/>
    <w:rsid w:val="007F2B51"/>
    <w:rsid w:val="00800009"/>
    <w:rsid w:val="0080066A"/>
    <w:rsid w:val="00801A25"/>
    <w:rsid w:val="008066F5"/>
    <w:rsid w:val="008119E4"/>
    <w:rsid w:val="00813989"/>
    <w:rsid w:val="008143F4"/>
    <w:rsid w:val="00816A30"/>
    <w:rsid w:val="008174F0"/>
    <w:rsid w:val="0082105C"/>
    <w:rsid w:val="00823AFA"/>
    <w:rsid w:val="008268E9"/>
    <w:rsid w:val="00826A10"/>
    <w:rsid w:val="00826E8B"/>
    <w:rsid w:val="00827BCC"/>
    <w:rsid w:val="00830D51"/>
    <w:rsid w:val="0083415D"/>
    <w:rsid w:val="00835D9C"/>
    <w:rsid w:val="008440BA"/>
    <w:rsid w:val="008507BF"/>
    <w:rsid w:val="00851BD7"/>
    <w:rsid w:val="00851DB4"/>
    <w:rsid w:val="00853165"/>
    <w:rsid w:val="00860DBA"/>
    <w:rsid w:val="00861FD6"/>
    <w:rsid w:val="00862139"/>
    <w:rsid w:val="00863D96"/>
    <w:rsid w:val="008648ED"/>
    <w:rsid w:val="008649BF"/>
    <w:rsid w:val="008724F8"/>
    <w:rsid w:val="00873A1A"/>
    <w:rsid w:val="00873D26"/>
    <w:rsid w:val="00874027"/>
    <w:rsid w:val="008765E7"/>
    <w:rsid w:val="008833A4"/>
    <w:rsid w:val="0089449B"/>
    <w:rsid w:val="00895F96"/>
    <w:rsid w:val="00896E0A"/>
    <w:rsid w:val="008A3B9B"/>
    <w:rsid w:val="008A6D71"/>
    <w:rsid w:val="008B1220"/>
    <w:rsid w:val="008C0048"/>
    <w:rsid w:val="008C651F"/>
    <w:rsid w:val="008D0000"/>
    <w:rsid w:val="008D09D2"/>
    <w:rsid w:val="008D1F10"/>
    <w:rsid w:val="008D3F22"/>
    <w:rsid w:val="008D43AD"/>
    <w:rsid w:val="008E5F55"/>
    <w:rsid w:val="008F2033"/>
    <w:rsid w:val="008F3177"/>
    <w:rsid w:val="008F3C82"/>
    <w:rsid w:val="008F5F33"/>
    <w:rsid w:val="008F7CD8"/>
    <w:rsid w:val="009020B3"/>
    <w:rsid w:val="00902163"/>
    <w:rsid w:val="00904270"/>
    <w:rsid w:val="0090471B"/>
    <w:rsid w:val="009120E5"/>
    <w:rsid w:val="00912BAF"/>
    <w:rsid w:val="00915A2E"/>
    <w:rsid w:val="009221A1"/>
    <w:rsid w:val="009240E7"/>
    <w:rsid w:val="0092648F"/>
    <w:rsid w:val="0093023F"/>
    <w:rsid w:val="00941BEC"/>
    <w:rsid w:val="00944C07"/>
    <w:rsid w:val="00944C17"/>
    <w:rsid w:val="00955049"/>
    <w:rsid w:val="0095646B"/>
    <w:rsid w:val="009579FC"/>
    <w:rsid w:val="00960320"/>
    <w:rsid w:val="00970133"/>
    <w:rsid w:val="0097043F"/>
    <w:rsid w:val="00973080"/>
    <w:rsid w:val="00981765"/>
    <w:rsid w:val="00981D99"/>
    <w:rsid w:val="00983258"/>
    <w:rsid w:val="00991332"/>
    <w:rsid w:val="00994235"/>
    <w:rsid w:val="009A22BA"/>
    <w:rsid w:val="009A3C89"/>
    <w:rsid w:val="009A5AAC"/>
    <w:rsid w:val="009A5C97"/>
    <w:rsid w:val="009A7A9A"/>
    <w:rsid w:val="009B1277"/>
    <w:rsid w:val="009B2A04"/>
    <w:rsid w:val="009B3849"/>
    <w:rsid w:val="009B4F81"/>
    <w:rsid w:val="009C0E91"/>
    <w:rsid w:val="009C23B7"/>
    <w:rsid w:val="009C50BE"/>
    <w:rsid w:val="009D2499"/>
    <w:rsid w:val="009D344D"/>
    <w:rsid w:val="009E729B"/>
    <w:rsid w:val="009F49E1"/>
    <w:rsid w:val="009F65FD"/>
    <w:rsid w:val="00A0331B"/>
    <w:rsid w:val="00A0375E"/>
    <w:rsid w:val="00A101E9"/>
    <w:rsid w:val="00A102CC"/>
    <w:rsid w:val="00A13D27"/>
    <w:rsid w:val="00A14610"/>
    <w:rsid w:val="00A155F5"/>
    <w:rsid w:val="00A2369F"/>
    <w:rsid w:val="00A24B1B"/>
    <w:rsid w:val="00A37B3C"/>
    <w:rsid w:val="00A44150"/>
    <w:rsid w:val="00A45D74"/>
    <w:rsid w:val="00A468AE"/>
    <w:rsid w:val="00A50B3E"/>
    <w:rsid w:val="00A51614"/>
    <w:rsid w:val="00A51C79"/>
    <w:rsid w:val="00A56C92"/>
    <w:rsid w:val="00A6059C"/>
    <w:rsid w:val="00A61022"/>
    <w:rsid w:val="00A63BE3"/>
    <w:rsid w:val="00A725A8"/>
    <w:rsid w:val="00A74F05"/>
    <w:rsid w:val="00A76D32"/>
    <w:rsid w:val="00A823D1"/>
    <w:rsid w:val="00A8345C"/>
    <w:rsid w:val="00A85CB5"/>
    <w:rsid w:val="00A85F21"/>
    <w:rsid w:val="00A87EC4"/>
    <w:rsid w:val="00A95902"/>
    <w:rsid w:val="00A975D9"/>
    <w:rsid w:val="00AA1602"/>
    <w:rsid w:val="00AA1F97"/>
    <w:rsid w:val="00AA329A"/>
    <w:rsid w:val="00AA4649"/>
    <w:rsid w:val="00AA63EA"/>
    <w:rsid w:val="00AA6C62"/>
    <w:rsid w:val="00AB0C2F"/>
    <w:rsid w:val="00AB5743"/>
    <w:rsid w:val="00AB6A55"/>
    <w:rsid w:val="00AC0E5C"/>
    <w:rsid w:val="00AC4080"/>
    <w:rsid w:val="00AD5386"/>
    <w:rsid w:val="00AD5730"/>
    <w:rsid w:val="00AD58F0"/>
    <w:rsid w:val="00AE296E"/>
    <w:rsid w:val="00AE738A"/>
    <w:rsid w:val="00AF65DF"/>
    <w:rsid w:val="00AF7110"/>
    <w:rsid w:val="00B002DC"/>
    <w:rsid w:val="00B00FC5"/>
    <w:rsid w:val="00B02D9D"/>
    <w:rsid w:val="00B0507A"/>
    <w:rsid w:val="00B05438"/>
    <w:rsid w:val="00B06640"/>
    <w:rsid w:val="00B10F43"/>
    <w:rsid w:val="00B1141C"/>
    <w:rsid w:val="00B13D60"/>
    <w:rsid w:val="00B23D6C"/>
    <w:rsid w:val="00B26081"/>
    <w:rsid w:val="00B308A1"/>
    <w:rsid w:val="00B35E7E"/>
    <w:rsid w:val="00B44FF1"/>
    <w:rsid w:val="00B455D6"/>
    <w:rsid w:val="00B47E67"/>
    <w:rsid w:val="00B54EEC"/>
    <w:rsid w:val="00B57DF5"/>
    <w:rsid w:val="00B628F2"/>
    <w:rsid w:val="00B635B8"/>
    <w:rsid w:val="00B74973"/>
    <w:rsid w:val="00B77ED1"/>
    <w:rsid w:val="00B92819"/>
    <w:rsid w:val="00B9789C"/>
    <w:rsid w:val="00BA0C53"/>
    <w:rsid w:val="00BA7CF8"/>
    <w:rsid w:val="00BB6238"/>
    <w:rsid w:val="00BB6777"/>
    <w:rsid w:val="00BB785F"/>
    <w:rsid w:val="00BC0FB8"/>
    <w:rsid w:val="00BC3B9D"/>
    <w:rsid w:val="00BD20FD"/>
    <w:rsid w:val="00BD2B86"/>
    <w:rsid w:val="00BD68D9"/>
    <w:rsid w:val="00BD7E18"/>
    <w:rsid w:val="00BE16AB"/>
    <w:rsid w:val="00BE2C14"/>
    <w:rsid w:val="00BE32C7"/>
    <w:rsid w:val="00BE3DB3"/>
    <w:rsid w:val="00BE5E58"/>
    <w:rsid w:val="00BE7799"/>
    <w:rsid w:val="00BE7EA7"/>
    <w:rsid w:val="00BF0118"/>
    <w:rsid w:val="00BF5695"/>
    <w:rsid w:val="00C017A4"/>
    <w:rsid w:val="00C029FF"/>
    <w:rsid w:val="00C10045"/>
    <w:rsid w:val="00C125F5"/>
    <w:rsid w:val="00C1407F"/>
    <w:rsid w:val="00C14493"/>
    <w:rsid w:val="00C16B50"/>
    <w:rsid w:val="00C1783B"/>
    <w:rsid w:val="00C179A0"/>
    <w:rsid w:val="00C21730"/>
    <w:rsid w:val="00C23078"/>
    <w:rsid w:val="00C3290C"/>
    <w:rsid w:val="00C337B3"/>
    <w:rsid w:val="00C33A3F"/>
    <w:rsid w:val="00C33DE8"/>
    <w:rsid w:val="00C35021"/>
    <w:rsid w:val="00C36ED2"/>
    <w:rsid w:val="00C4479B"/>
    <w:rsid w:val="00C46347"/>
    <w:rsid w:val="00C50ACF"/>
    <w:rsid w:val="00C750A5"/>
    <w:rsid w:val="00C81849"/>
    <w:rsid w:val="00C829EB"/>
    <w:rsid w:val="00C86C3C"/>
    <w:rsid w:val="00C87C7B"/>
    <w:rsid w:val="00C90082"/>
    <w:rsid w:val="00C91528"/>
    <w:rsid w:val="00C94E02"/>
    <w:rsid w:val="00C96C12"/>
    <w:rsid w:val="00C977BD"/>
    <w:rsid w:val="00CA17A5"/>
    <w:rsid w:val="00CA1E65"/>
    <w:rsid w:val="00CA35F8"/>
    <w:rsid w:val="00CA52F8"/>
    <w:rsid w:val="00CA6E32"/>
    <w:rsid w:val="00CC2D67"/>
    <w:rsid w:val="00CC5887"/>
    <w:rsid w:val="00CD1690"/>
    <w:rsid w:val="00CD2C6D"/>
    <w:rsid w:val="00CD3478"/>
    <w:rsid w:val="00CE2040"/>
    <w:rsid w:val="00CE4521"/>
    <w:rsid w:val="00CE5675"/>
    <w:rsid w:val="00CE63D8"/>
    <w:rsid w:val="00CE6EE4"/>
    <w:rsid w:val="00CF14F2"/>
    <w:rsid w:val="00CF50DE"/>
    <w:rsid w:val="00CF77A0"/>
    <w:rsid w:val="00D01210"/>
    <w:rsid w:val="00D06E71"/>
    <w:rsid w:val="00D073F7"/>
    <w:rsid w:val="00D1215E"/>
    <w:rsid w:val="00D16962"/>
    <w:rsid w:val="00D169E9"/>
    <w:rsid w:val="00D249E9"/>
    <w:rsid w:val="00D24EF7"/>
    <w:rsid w:val="00D26490"/>
    <w:rsid w:val="00D31640"/>
    <w:rsid w:val="00D31A2E"/>
    <w:rsid w:val="00D33339"/>
    <w:rsid w:val="00D34E00"/>
    <w:rsid w:val="00D40859"/>
    <w:rsid w:val="00D40CA2"/>
    <w:rsid w:val="00D42BB4"/>
    <w:rsid w:val="00D476AB"/>
    <w:rsid w:val="00D53373"/>
    <w:rsid w:val="00D54C0B"/>
    <w:rsid w:val="00D56813"/>
    <w:rsid w:val="00D579E8"/>
    <w:rsid w:val="00D60C4D"/>
    <w:rsid w:val="00D62134"/>
    <w:rsid w:val="00D62A57"/>
    <w:rsid w:val="00D67BFB"/>
    <w:rsid w:val="00D70E0A"/>
    <w:rsid w:val="00D73442"/>
    <w:rsid w:val="00D738CE"/>
    <w:rsid w:val="00D73E37"/>
    <w:rsid w:val="00D74734"/>
    <w:rsid w:val="00D76530"/>
    <w:rsid w:val="00D768DF"/>
    <w:rsid w:val="00D76DA8"/>
    <w:rsid w:val="00D77A69"/>
    <w:rsid w:val="00D77AF9"/>
    <w:rsid w:val="00D77D21"/>
    <w:rsid w:val="00D84667"/>
    <w:rsid w:val="00D852C9"/>
    <w:rsid w:val="00D86620"/>
    <w:rsid w:val="00D9241D"/>
    <w:rsid w:val="00D97AFE"/>
    <w:rsid w:val="00DA4AB9"/>
    <w:rsid w:val="00DA605B"/>
    <w:rsid w:val="00DA708A"/>
    <w:rsid w:val="00DB5119"/>
    <w:rsid w:val="00DB77CC"/>
    <w:rsid w:val="00DC12C8"/>
    <w:rsid w:val="00DC52EB"/>
    <w:rsid w:val="00DC627D"/>
    <w:rsid w:val="00DC6A84"/>
    <w:rsid w:val="00DC6C14"/>
    <w:rsid w:val="00DC7192"/>
    <w:rsid w:val="00DC7328"/>
    <w:rsid w:val="00DD23C9"/>
    <w:rsid w:val="00DD56BE"/>
    <w:rsid w:val="00DD60A1"/>
    <w:rsid w:val="00DE33C2"/>
    <w:rsid w:val="00DE42F7"/>
    <w:rsid w:val="00DE5BDD"/>
    <w:rsid w:val="00DF2F10"/>
    <w:rsid w:val="00DF59A1"/>
    <w:rsid w:val="00E03374"/>
    <w:rsid w:val="00E14816"/>
    <w:rsid w:val="00E149F5"/>
    <w:rsid w:val="00E1613F"/>
    <w:rsid w:val="00E23222"/>
    <w:rsid w:val="00E242AB"/>
    <w:rsid w:val="00E24A80"/>
    <w:rsid w:val="00E258C9"/>
    <w:rsid w:val="00E26000"/>
    <w:rsid w:val="00E27B12"/>
    <w:rsid w:val="00E27E32"/>
    <w:rsid w:val="00E304F8"/>
    <w:rsid w:val="00E343AB"/>
    <w:rsid w:val="00E34C22"/>
    <w:rsid w:val="00E37504"/>
    <w:rsid w:val="00E4425D"/>
    <w:rsid w:val="00E474FD"/>
    <w:rsid w:val="00E52545"/>
    <w:rsid w:val="00E61279"/>
    <w:rsid w:val="00E66BB5"/>
    <w:rsid w:val="00E66C4B"/>
    <w:rsid w:val="00E73AA4"/>
    <w:rsid w:val="00E74137"/>
    <w:rsid w:val="00E7594B"/>
    <w:rsid w:val="00E76AD9"/>
    <w:rsid w:val="00E7790A"/>
    <w:rsid w:val="00E80045"/>
    <w:rsid w:val="00E81834"/>
    <w:rsid w:val="00E870F4"/>
    <w:rsid w:val="00E93EA6"/>
    <w:rsid w:val="00E949AE"/>
    <w:rsid w:val="00E95329"/>
    <w:rsid w:val="00E96540"/>
    <w:rsid w:val="00E96888"/>
    <w:rsid w:val="00EA1B0D"/>
    <w:rsid w:val="00EA4165"/>
    <w:rsid w:val="00EB49BF"/>
    <w:rsid w:val="00EB4B69"/>
    <w:rsid w:val="00EB6F34"/>
    <w:rsid w:val="00EC23CA"/>
    <w:rsid w:val="00EC6D4C"/>
    <w:rsid w:val="00EC7B81"/>
    <w:rsid w:val="00ED0FAD"/>
    <w:rsid w:val="00ED1093"/>
    <w:rsid w:val="00ED450B"/>
    <w:rsid w:val="00EE3727"/>
    <w:rsid w:val="00EF1F53"/>
    <w:rsid w:val="00F007C0"/>
    <w:rsid w:val="00F0168B"/>
    <w:rsid w:val="00F03349"/>
    <w:rsid w:val="00F053AA"/>
    <w:rsid w:val="00F14F80"/>
    <w:rsid w:val="00F16DB4"/>
    <w:rsid w:val="00F217C1"/>
    <w:rsid w:val="00F223E7"/>
    <w:rsid w:val="00F30587"/>
    <w:rsid w:val="00F31E3F"/>
    <w:rsid w:val="00F33016"/>
    <w:rsid w:val="00F34581"/>
    <w:rsid w:val="00F35BC3"/>
    <w:rsid w:val="00F37479"/>
    <w:rsid w:val="00F40C9B"/>
    <w:rsid w:val="00F42D97"/>
    <w:rsid w:val="00F4382B"/>
    <w:rsid w:val="00F438F1"/>
    <w:rsid w:val="00F4454A"/>
    <w:rsid w:val="00F4569E"/>
    <w:rsid w:val="00F459B6"/>
    <w:rsid w:val="00F45C66"/>
    <w:rsid w:val="00F465CB"/>
    <w:rsid w:val="00F5005D"/>
    <w:rsid w:val="00F5103F"/>
    <w:rsid w:val="00F51B79"/>
    <w:rsid w:val="00F52D5A"/>
    <w:rsid w:val="00F52F18"/>
    <w:rsid w:val="00F5545B"/>
    <w:rsid w:val="00F55EF3"/>
    <w:rsid w:val="00F563C9"/>
    <w:rsid w:val="00F570F0"/>
    <w:rsid w:val="00F60D73"/>
    <w:rsid w:val="00F6514D"/>
    <w:rsid w:val="00F65334"/>
    <w:rsid w:val="00F73AFF"/>
    <w:rsid w:val="00F75BB1"/>
    <w:rsid w:val="00F84F8E"/>
    <w:rsid w:val="00F851B8"/>
    <w:rsid w:val="00F924B9"/>
    <w:rsid w:val="00F92CDF"/>
    <w:rsid w:val="00F9457C"/>
    <w:rsid w:val="00F94BCF"/>
    <w:rsid w:val="00F96AAD"/>
    <w:rsid w:val="00FA2B85"/>
    <w:rsid w:val="00FA4EE2"/>
    <w:rsid w:val="00FA6641"/>
    <w:rsid w:val="00FA6C62"/>
    <w:rsid w:val="00FC40D3"/>
    <w:rsid w:val="00FC491B"/>
    <w:rsid w:val="00FC4D4E"/>
    <w:rsid w:val="00FC583E"/>
    <w:rsid w:val="00FC74D6"/>
    <w:rsid w:val="00FD26D2"/>
    <w:rsid w:val="00FD5B1A"/>
    <w:rsid w:val="00FD5BC4"/>
    <w:rsid w:val="00FE5B93"/>
    <w:rsid w:val="00FE7A52"/>
    <w:rsid w:val="00FF0404"/>
    <w:rsid w:val="00FF0ECC"/>
    <w:rsid w:val="00FF3618"/>
    <w:rsid w:val="00FF454F"/>
    <w:rsid w:val="02BB6265"/>
    <w:rsid w:val="03490E12"/>
    <w:rsid w:val="053C147C"/>
    <w:rsid w:val="066F0A41"/>
    <w:rsid w:val="0D0971DC"/>
    <w:rsid w:val="0EEB295F"/>
    <w:rsid w:val="1788225F"/>
    <w:rsid w:val="18C331BC"/>
    <w:rsid w:val="1ABA7541"/>
    <w:rsid w:val="30ED1559"/>
    <w:rsid w:val="469A7E47"/>
    <w:rsid w:val="47A6787E"/>
    <w:rsid w:val="488B0DEF"/>
    <w:rsid w:val="4EE54471"/>
    <w:rsid w:val="57B14D9C"/>
    <w:rsid w:val="5D803D30"/>
    <w:rsid w:val="6076506E"/>
    <w:rsid w:val="6AB279A1"/>
    <w:rsid w:val="6B12311D"/>
    <w:rsid w:val="70514CCA"/>
    <w:rsid w:val="72CC3152"/>
    <w:rsid w:val="74535A43"/>
    <w:rsid w:val="74700518"/>
    <w:rsid w:val="74EE278D"/>
    <w:rsid w:val="77E37FAA"/>
    <w:rsid w:val="7AEF134B"/>
    <w:rsid w:val="7C47431C"/>
    <w:rsid w:val="7D053390"/>
    <w:rsid w:val="7D8E62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99"/>
    <w:pPr>
      <w:keepNext/>
      <w:keepLines/>
      <w:pageBreakBefore/>
      <w:adjustRightInd w:val="0"/>
      <w:snapToGrid w:val="0"/>
      <w:spacing w:before="340" w:after="330"/>
      <w:jc w:val="center"/>
      <w:outlineLvl w:val="0"/>
    </w:pPr>
    <w:rPr>
      <w:rFonts w:ascii="楷体_GB2312" w:eastAsia="楷体_GB2312" w:cs="宋体"/>
      <w:b/>
      <w:color w:val="000000"/>
      <w:kern w:val="0"/>
      <w:sz w:val="44"/>
      <w:szCs w:val="20"/>
    </w:rPr>
  </w:style>
  <w:style w:type="paragraph" w:styleId="3">
    <w:name w:val="heading 2"/>
    <w:basedOn w:val="1"/>
    <w:next w:val="1"/>
    <w:link w:val="47"/>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8"/>
    <w:qFormat/>
    <w:uiPriority w:val="99"/>
    <w:pPr>
      <w:keepNext/>
      <w:keepLines/>
      <w:widowControl/>
      <w:spacing w:before="260" w:after="260" w:line="412" w:lineRule="auto"/>
      <w:jc w:val="left"/>
      <w:outlineLvl w:val="2"/>
    </w:pPr>
    <w:rPr>
      <w:b/>
      <w:kern w:val="0"/>
      <w:sz w:val="32"/>
      <w:szCs w:val="20"/>
    </w:rPr>
  </w:style>
  <w:style w:type="paragraph" w:styleId="5">
    <w:name w:val="heading 4"/>
    <w:basedOn w:val="1"/>
    <w:next w:val="1"/>
    <w:link w:val="49"/>
    <w:qFormat/>
    <w:uiPriority w:val="0"/>
    <w:pPr>
      <w:keepNext/>
      <w:keepLines/>
      <w:tabs>
        <w:tab w:val="left" w:pos="2070"/>
      </w:tabs>
      <w:adjustRightInd w:val="0"/>
      <w:spacing w:before="280" w:after="290" w:line="376" w:lineRule="atLeast"/>
      <w:ind w:left="1700" w:hanging="425"/>
      <w:outlineLvl w:val="3"/>
    </w:pPr>
    <w:rPr>
      <w:rFonts w:ascii="Arial" w:hAnsi="Arial" w:eastAsia="黑体"/>
      <w:b/>
      <w:kern w:val="0"/>
      <w:sz w:val="28"/>
      <w:szCs w:val="20"/>
    </w:rPr>
  </w:style>
  <w:style w:type="paragraph" w:styleId="6">
    <w:name w:val="heading 5"/>
    <w:basedOn w:val="1"/>
    <w:next w:val="1"/>
    <w:link w:val="50"/>
    <w:qFormat/>
    <w:uiPriority w:val="0"/>
    <w:pPr>
      <w:keepNext/>
      <w:keepLines/>
      <w:tabs>
        <w:tab w:val="left" w:pos="2040"/>
      </w:tabs>
      <w:adjustRightInd w:val="0"/>
      <w:spacing w:before="280" w:after="290" w:line="376" w:lineRule="atLeast"/>
      <w:ind w:left="2125" w:hanging="425"/>
      <w:outlineLvl w:val="4"/>
    </w:pPr>
    <w:rPr>
      <w:b/>
      <w:kern w:val="0"/>
      <w:sz w:val="28"/>
      <w:szCs w:val="20"/>
    </w:rPr>
  </w:style>
  <w:style w:type="paragraph" w:styleId="7">
    <w:name w:val="heading 6"/>
    <w:basedOn w:val="1"/>
    <w:next w:val="1"/>
    <w:link w:val="51"/>
    <w:qFormat/>
    <w:uiPriority w:val="0"/>
    <w:pPr>
      <w:keepNext/>
      <w:keepLines/>
      <w:tabs>
        <w:tab w:val="left" w:pos="2520"/>
      </w:tabs>
      <w:adjustRightInd w:val="0"/>
      <w:spacing w:before="240" w:after="64" w:line="320" w:lineRule="atLeast"/>
      <w:ind w:left="2550" w:hanging="425"/>
      <w:outlineLvl w:val="5"/>
    </w:pPr>
    <w:rPr>
      <w:rFonts w:ascii="Arial" w:hAnsi="Arial" w:eastAsia="黑体"/>
      <w:b/>
      <w:kern w:val="0"/>
      <w:sz w:val="24"/>
      <w:szCs w:val="20"/>
    </w:rPr>
  </w:style>
  <w:style w:type="paragraph" w:styleId="8">
    <w:name w:val="heading 7"/>
    <w:basedOn w:val="1"/>
    <w:next w:val="1"/>
    <w:link w:val="52"/>
    <w:qFormat/>
    <w:uiPriority w:val="0"/>
    <w:pPr>
      <w:keepNext/>
      <w:keepLines/>
      <w:tabs>
        <w:tab w:val="left" w:pos="2940"/>
      </w:tabs>
      <w:adjustRightInd w:val="0"/>
      <w:spacing w:before="240" w:after="64" w:line="320" w:lineRule="atLeast"/>
      <w:ind w:left="2975" w:hanging="425"/>
      <w:outlineLvl w:val="6"/>
    </w:pPr>
    <w:rPr>
      <w:b/>
      <w:kern w:val="0"/>
      <w:sz w:val="24"/>
      <w:szCs w:val="20"/>
    </w:rPr>
  </w:style>
  <w:style w:type="paragraph" w:styleId="9">
    <w:name w:val="heading 8"/>
    <w:basedOn w:val="1"/>
    <w:next w:val="1"/>
    <w:link w:val="53"/>
    <w:qFormat/>
    <w:uiPriority w:val="0"/>
    <w:pPr>
      <w:keepNext/>
      <w:keepLines/>
      <w:tabs>
        <w:tab w:val="left" w:pos="3360"/>
      </w:tabs>
      <w:adjustRightInd w:val="0"/>
      <w:spacing w:before="240" w:after="64" w:line="320" w:lineRule="atLeast"/>
      <w:ind w:left="3400" w:hanging="425"/>
      <w:outlineLvl w:val="7"/>
    </w:pPr>
    <w:rPr>
      <w:rFonts w:ascii="Arial" w:hAnsi="Arial" w:eastAsia="黑体"/>
      <w:kern w:val="0"/>
      <w:sz w:val="24"/>
      <w:szCs w:val="20"/>
    </w:rPr>
  </w:style>
  <w:style w:type="paragraph" w:styleId="10">
    <w:name w:val="heading 9"/>
    <w:basedOn w:val="1"/>
    <w:next w:val="1"/>
    <w:link w:val="54"/>
    <w:qFormat/>
    <w:uiPriority w:val="0"/>
    <w:pPr>
      <w:keepNext/>
      <w:keepLines/>
      <w:tabs>
        <w:tab w:val="left" w:pos="3780"/>
      </w:tabs>
      <w:adjustRightInd w:val="0"/>
      <w:spacing w:before="240" w:after="64" w:line="320" w:lineRule="atLeast"/>
      <w:ind w:left="3825" w:hanging="425"/>
      <w:outlineLvl w:val="8"/>
    </w:pPr>
    <w:rPr>
      <w:rFonts w:ascii="Arial" w:hAnsi="Arial" w:eastAsia="黑体"/>
      <w:kern w:val="0"/>
      <w:szCs w:val="20"/>
    </w:rPr>
  </w:style>
  <w:style w:type="character" w:default="1" w:styleId="39">
    <w:name w:val="Default Paragraph Font"/>
    <w:semiHidden/>
    <w:unhideWhenUsed/>
    <w:qFormat/>
    <w:uiPriority w:val="1"/>
  </w:style>
  <w:style w:type="table" w:default="1" w:styleId="44">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109"/>
    <w:qFormat/>
    <w:uiPriority w:val="99"/>
    <w:pPr>
      <w:suppressAutoHyphens/>
    </w:pPr>
    <w:rPr>
      <w:b/>
      <w:bCs/>
      <w:kern w:val="1"/>
      <w:sz w:val="20"/>
      <w:lang w:eastAsia="ar-SA"/>
    </w:rPr>
  </w:style>
  <w:style w:type="paragraph" w:styleId="12">
    <w:name w:val="annotation text"/>
    <w:basedOn w:val="1"/>
    <w:link w:val="55"/>
    <w:qFormat/>
    <w:uiPriority w:val="99"/>
    <w:pPr>
      <w:jc w:val="left"/>
    </w:pPr>
    <w:rPr>
      <w:szCs w:val="20"/>
    </w:rPr>
  </w:style>
  <w:style w:type="paragraph" w:styleId="13">
    <w:name w:val="toc 7"/>
    <w:basedOn w:val="1"/>
    <w:next w:val="1"/>
    <w:qFormat/>
    <w:uiPriority w:val="0"/>
    <w:pPr>
      <w:widowControl/>
      <w:snapToGrid w:val="0"/>
      <w:ind w:left="1440"/>
      <w:jc w:val="left"/>
    </w:pPr>
    <w:rPr>
      <w:rFonts w:eastAsia="楷体_GB2312"/>
      <w:kern w:val="0"/>
      <w:sz w:val="24"/>
      <w:szCs w:val="20"/>
      <w:u w:color="000000"/>
    </w:rPr>
  </w:style>
  <w:style w:type="paragraph" w:styleId="14">
    <w:name w:val="Body Text First Indent"/>
    <w:basedOn w:val="1"/>
    <w:link w:val="103"/>
    <w:qFormat/>
    <w:uiPriority w:val="99"/>
    <w:pPr>
      <w:suppressAutoHyphens/>
      <w:spacing w:line="360" w:lineRule="auto"/>
      <w:ind w:firstLine="420"/>
      <w:jc w:val="center"/>
    </w:pPr>
    <w:rPr>
      <w:rFonts w:eastAsia="仿宋_GB2312"/>
      <w:kern w:val="1"/>
      <w:sz w:val="20"/>
      <w:szCs w:val="20"/>
      <w:lang w:eastAsia="ar-SA"/>
    </w:rPr>
  </w:style>
  <w:style w:type="paragraph" w:styleId="15">
    <w:name w:val="Normal Indent"/>
    <w:basedOn w:val="1"/>
    <w:qFormat/>
    <w:uiPriority w:val="0"/>
    <w:pPr>
      <w:widowControl/>
      <w:ind w:firstLine="420"/>
      <w:jc w:val="left"/>
    </w:pPr>
    <w:rPr>
      <w:kern w:val="0"/>
      <w:sz w:val="20"/>
      <w:szCs w:val="20"/>
    </w:rPr>
  </w:style>
  <w:style w:type="paragraph" w:styleId="16">
    <w:name w:val="Document Map"/>
    <w:basedOn w:val="1"/>
    <w:link w:val="65"/>
    <w:qFormat/>
    <w:uiPriority w:val="0"/>
    <w:pPr>
      <w:widowControl/>
      <w:shd w:val="clear" w:color="auto" w:fill="000080"/>
      <w:jc w:val="left"/>
    </w:pPr>
    <w:rPr>
      <w:kern w:val="0"/>
      <w:sz w:val="20"/>
      <w:szCs w:val="20"/>
      <w:shd w:val="clear" w:color="auto" w:fill="000080"/>
    </w:rPr>
  </w:style>
  <w:style w:type="paragraph" w:styleId="17">
    <w:name w:val="Body Text 3"/>
    <w:basedOn w:val="1"/>
    <w:link w:val="62"/>
    <w:qFormat/>
    <w:uiPriority w:val="0"/>
    <w:pPr>
      <w:spacing w:line="240" w:lineRule="atLeast"/>
      <w:jc w:val="center"/>
    </w:pPr>
    <w:rPr>
      <w:rFonts w:ascii="楷体_GB2312" w:eastAsia="楷体_GB2312"/>
      <w:b/>
      <w:sz w:val="44"/>
      <w:szCs w:val="20"/>
    </w:rPr>
  </w:style>
  <w:style w:type="paragraph" w:styleId="18">
    <w:name w:val="Body Text"/>
    <w:basedOn w:val="1"/>
    <w:link w:val="58"/>
    <w:qFormat/>
    <w:uiPriority w:val="99"/>
    <w:pPr>
      <w:widowControl/>
      <w:tabs>
        <w:tab w:val="left" w:pos="0"/>
        <w:tab w:val="left" w:pos="993"/>
        <w:tab w:val="left" w:pos="1134"/>
      </w:tabs>
      <w:spacing w:line="500" w:lineRule="exact"/>
    </w:pPr>
    <w:rPr>
      <w:rFonts w:ascii="宋体" w:hAnsi="宋体"/>
      <w:kern w:val="0"/>
      <w:sz w:val="28"/>
      <w:szCs w:val="20"/>
    </w:rPr>
  </w:style>
  <w:style w:type="paragraph" w:styleId="19">
    <w:name w:val="Body Text Indent"/>
    <w:basedOn w:val="1"/>
    <w:link w:val="59"/>
    <w:qFormat/>
    <w:uiPriority w:val="99"/>
    <w:pPr>
      <w:widowControl/>
      <w:tabs>
        <w:tab w:val="left" w:pos="0"/>
        <w:tab w:val="left" w:pos="993"/>
        <w:tab w:val="left" w:pos="1134"/>
      </w:tabs>
      <w:spacing w:line="500" w:lineRule="exact"/>
      <w:ind w:firstLine="567"/>
    </w:pPr>
    <w:rPr>
      <w:rFonts w:ascii="宋体" w:hAnsi="宋体"/>
      <w:kern w:val="0"/>
      <w:sz w:val="28"/>
      <w:szCs w:val="20"/>
    </w:rPr>
  </w:style>
  <w:style w:type="paragraph" w:styleId="20">
    <w:name w:val="toc 5"/>
    <w:basedOn w:val="1"/>
    <w:next w:val="1"/>
    <w:qFormat/>
    <w:uiPriority w:val="0"/>
    <w:pPr>
      <w:widowControl/>
      <w:snapToGrid w:val="0"/>
      <w:ind w:left="960"/>
      <w:jc w:val="left"/>
    </w:pPr>
    <w:rPr>
      <w:rFonts w:eastAsia="楷体_GB2312"/>
      <w:kern w:val="0"/>
      <w:sz w:val="24"/>
      <w:szCs w:val="20"/>
      <w:u w:color="000000"/>
    </w:rPr>
  </w:style>
  <w:style w:type="paragraph" w:styleId="21">
    <w:name w:val="toc 3"/>
    <w:basedOn w:val="1"/>
    <w:next w:val="1"/>
    <w:qFormat/>
    <w:uiPriority w:val="39"/>
    <w:pPr>
      <w:widowControl/>
      <w:tabs>
        <w:tab w:val="right" w:leader="dot" w:pos="9402"/>
      </w:tabs>
      <w:snapToGrid w:val="0"/>
      <w:spacing w:line="360" w:lineRule="auto"/>
      <w:ind w:left="480"/>
      <w:jc w:val="left"/>
    </w:pPr>
    <w:rPr>
      <w:rFonts w:ascii="楷体_GB2312" w:hAnsi="宋体" w:eastAsia="楷体_GB2312"/>
      <w:kern w:val="0"/>
      <w:sz w:val="24"/>
      <w:szCs w:val="20"/>
      <w:u w:color="000000"/>
    </w:rPr>
  </w:style>
  <w:style w:type="paragraph" w:styleId="22">
    <w:name w:val="Plain Text"/>
    <w:basedOn w:val="1"/>
    <w:link w:val="66"/>
    <w:qFormat/>
    <w:uiPriority w:val="0"/>
    <w:rPr>
      <w:rFonts w:ascii="宋体" w:hAnsi="Courier New"/>
      <w:szCs w:val="20"/>
    </w:rPr>
  </w:style>
  <w:style w:type="paragraph" w:styleId="23">
    <w:name w:val="toc 8"/>
    <w:basedOn w:val="1"/>
    <w:next w:val="1"/>
    <w:qFormat/>
    <w:uiPriority w:val="0"/>
    <w:pPr>
      <w:widowControl/>
      <w:snapToGrid w:val="0"/>
      <w:ind w:left="1680"/>
      <w:jc w:val="left"/>
    </w:pPr>
    <w:rPr>
      <w:rFonts w:eastAsia="楷体_GB2312"/>
      <w:kern w:val="0"/>
      <w:sz w:val="24"/>
      <w:szCs w:val="20"/>
      <w:u w:color="000000"/>
    </w:rPr>
  </w:style>
  <w:style w:type="paragraph" w:styleId="24">
    <w:name w:val="Date"/>
    <w:basedOn w:val="1"/>
    <w:next w:val="1"/>
    <w:link w:val="60"/>
    <w:qFormat/>
    <w:uiPriority w:val="0"/>
    <w:rPr>
      <w:rFonts w:ascii="宋体" w:hAnsi="宋体"/>
      <w:szCs w:val="20"/>
    </w:rPr>
  </w:style>
  <w:style w:type="paragraph" w:styleId="25">
    <w:name w:val="Body Text Indent 2"/>
    <w:basedOn w:val="1"/>
    <w:link w:val="63"/>
    <w:qFormat/>
    <w:uiPriority w:val="0"/>
    <w:pPr>
      <w:widowControl/>
      <w:tabs>
        <w:tab w:val="left" w:pos="0"/>
        <w:tab w:val="left" w:pos="993"/>
        <w:tab w:val="left" w:pos="1134"/>
      </w:tabs>
      <w:spacing w:line="500" w:lineRule="exact"/>
      <w:ind w:firstLine="851"/>
    </w:pPr>
    <w:rPr>
      <w:rFonts w:ascii="楷体_GB2312" w:eastAsia="楷体_GB2312"/>
      <w:b/>
      <w:spacing w:val="-24"/>
      <w:kern w:val="0"/>
      <w:sz w:val="28"/>
      <w:szCs w:val="20"/>
    </w:rPr>
  </w:style>
  <w:style w:type="paragraph" w:styleId="26">
    <w:name w:val="Balloon Text"/>
    <w:basedOn w:val="1"/>
    <w:link w:val="67"/>
    <w:qFormat/>
    <w:uiPriority w:val="99"/>
    <w:pPr>
      <w:widowControl/>
      <w:jc w:val="left"/>
    </w:pPr>
    <w:rPr>
      <w:kern w:val="0"/>
      <w:sz w:val="18"/>
      <w:szCs w:val="20"/>
    </w:rPr>
  </w:style>
  <w:style w:type="paragraph" w:styleId="27">
    <w:name w:val="footer"/>
    <w:basedOn w:val="1"/>
    <w:link w:val="57"/>
    <w:qFormat/>
    <w:uiPriority w:val="0"/>
    <w:pPr>
      <w:widowControl/>
      <w:tabs>
        <w:tab w:val="center" w:pos="4153"/>
        <w:tab w:val="right" w:pos="8306"/>
      </w:tabs>
      <w:snapToGrid w:val="0"/>
      <w:jc w:val="left"/>
    </w:pPr>
    <w:rPr>
      <w:kern w:val="0"/>
      <w:sz w:val="18"/>
      <w:szCs w:val="20"/>
    </w:rPr>
  </w:style>
  <w:style w:type="paragraph" w:styleId="28">
    <w:name w:val="header"/>
    <w:basedOn w:val="1"/>
    <w:link w:val="56"/>
    <w:qFormat/>
    <w:uiPriority w:val="99"/>
    <w:pPr>
      <w:widowControl/>
      <w:pBdr>
        <w:bottom w:val="single" w:color="auto" w:sz="6" w:space="1"/>
      </w:pBdr>
      <w:tabs>
        <w:tab w:val="center" w:pos="4153"/>
        <w:tab w:val="right" w:pos="8306"/>
      </w:tabs>
      <w:snapToGrid w:val="0"/>
      <w:jc w:val="center"/>
    </w:pPr>
    <w:rPr>
      <w:kern w:val="0"/>
      <w:sz w:val="18"/>
      <w:szCs w:val="20"/>
    </w:rPr>
  </w:style>
  <w:style w:type="paragraph" w:styleId="29">
    <w:name w:val="toc 1"/>
    <w:basedOn w:val="1"/>
    <w:next w:val="1"/>
    <w:unhideWhenUsed/>
    <w:qFormat/>
    <w:uiPriority w:val="39"/>
    <w:pPr>
      <w:widowControl/>
      <w:spacing w:after="100" w:line="276" w:lineRule="auto"/>
      <w:jc w:val="left"/>
    </w:pPr>
    <w:rPr>
      <w:rFonts w:ascii="Calibri" w:hAnsi="Calibri"/>
      <w:kern w:val="0"/>
      <w:sz w:val="22"/>
      <w:szCs w:val="22"/>
    </w:rPr>
  </w:style>
  <w:style w:type="paragraph" w:styleId="30">
    <w:name w:val="toc 4"/>
    <w:basedOn w:val="1"/>
    <w:next w:val="1"/>
    <w:qFormat/>
    <w:uiPriority w:val="0"/>
    <w:pPr>
      <w:widowControl/>
      <w:snapToGrid w:val="0"/>
      <w:ind w:left="720"/>
      <w:jc w:val="left"/>
    </w:pPr>
    <w:rPr>
      <w:rFonts w:eastAsia="楷体_GB2312"/>
      <w:kern w:val="0"/>
      <w:sz w:val="24"/>
      <w:szCs w:val="20"/>
      <w:u w:color="000000"/>
    </w:rPr>
  </w:style>
  <w:style w:type="paragraph" w:styleId="31">
    <w:name w:val="List"/>
    <w:basedOn w:val="18"/>
    <w:qFormat/>
    <w:uiPriority w:val="99"/>
    <w:pPr>
      <w:widowControl w:val="0"/>
      <w:tabs>
        <w:tab w:val="clear" w:pos="0"/>
        <w:tab w:val="clear" w:pos="993"/>
        <w:tab w:val="clear" w:pos="1134"/>
      </w:tabs>
      <w:suppressAutoHyphens/>
      <w:spacing w:after="120" w:line="240" w:lineRule="auto"/>
    </w:pPr>
    <w:rPr>
      <w:rFonts w:ascii="Times New Roman" w:hAnsi="Times New Roman"/>
      <w:kern w:val="1"/>
      <w:sz w:val="20"/>
      <w:lang w:eastAsia="ar-SA"/>
    </w:rPr>
  </w:style>
  <w:style w:type="paragraph" w:styleId="32">
    <w:name w:val="toc 6"/>
    <w:basedOn w:val="1"/>
    <w:next w:val="1"/>
    <w:qFormat/>
    <w:uiPriority w:val="0"/>
    <w:pPr>
      <w:widowControl/>
      <w:snapToGrid w:val="0"/>
      <w:ind w:left="1200"/>
      <w:jc w:val="left"/>
    </w:pPr>
    <w:rPr>
      <w:rFonts w:eastAsia="楷体_GB2312"/>
      <w:kern w:val="0"/>
      <w:sz w:val="24"/>
      <w:szCs w:val="20"/>
      <w:u w:color="000000"/>
    </w:rPr>
  </w:style>
  <w:style w:type="paragraph" w:styleId="33">
    <w:name w:val="Body Text Indent 3"/>
    <w:basedOn w:val="1"/>
    <w:link w:val="64"/>
    <w:qFormat/>
    <w:uiPriority w:val="0"/>
    <w:pPr>
      <w:widowControl/>
      <w:tabs>
        <w:tab w:val="left" w:pos="0"/>
        <w:tab w:val="left" w:pos="1134"/>
      </w:tabs>
      <w:adjustRightInd w:val="0"/>
      <w:snapToGrid w:val="0"/>
      <w:spacing w:line="360" w:lineRule="auto"/>
      <w:ind w:left="567"/>
      <w:jc w:val="left"/>
    </w:pPr>
    <w:rPr>
      <w:rFonts w:ascii="仿宋_GB2312" w:eastAsia="仿宋_GB2312"/>
      <w:kern w:val="0"/>
      <w:sz w:val="28"/>
      <w:szCs w:val="20"/>
    </w:rPr>
  </w:style>
  <w:style w:type="paragraph" w:styleId="34">
    <w:name w:val="toc 2"/>
    <w:basedOn w:val="1"/>
    <w:next w:val="1"/>
    <w:qFormat/>
    <w:uiPriority w:val="39"/>
    <w:pPr>
      <w:widowControl/>
      <w:ind w:left="200" w:leftChars="200"/>
      <w:jc w:val="left"/>
    </w:pPr>
    <w:rPr>
      <w:kern w:val="0"/>
      <w:sz w:val="20"/>
      <w:szCs w:val="20"/>
    </w:rPr>
  </w:style>
  <w:style w:type="paragraph" w:styleId="35">
    <w:name w:val="toc 9"/>
    <w:basedOn w:val="1"/>
    <w:next w:val="1"/>
    <w:qFormat/>
    <w:uiPriority w:val="0"/>
    <w:pPr>
      <w:widowControl/>
      <w:snapToGrid w:val="0"/>
      <w:ind w:left="1920"/>
      <w:jc w:val="left"/>
    </w:pPr>
    <w:rPr>
      <w:rFonts w:eastAsia="楷体_GB2312"/>
      <w:kern w:val="0"/>
      <w:sz w:val="24"/>
      <w:szCs w:val="20"/>
      <w:u w:color="000000"/>
    </w:rPr>
  </w:style>
  <w:style w:type="paragraph" w:styleId="36">
    <w:name w:val="Body Text 2"/>
    <w:basedOn w:val="1"/>
    <w:link w:val="61"/>
    <w:qFormat/>
    <w:uiPriority w:val="0"/>
    <w:pPr>
      <w:widowControl/>
      <w:tabs>
        <w:tab w:val="left" w:pos="0"/>
        <w:tab w:val="left" w:pos="993"/>
        <w:tab w:val="left" w:pos="1134"/>
      </w:tabs>
      <w:spacing w:line="240" w:lineRule="exact"/>
    </w:pPr>
    <w:rPr>
      <w:rFonts w:ascii="楷体_GB2312" w:eastAsia="楷体_GB2312"/>
      <w:kern w:val="0"/>
      <w:sz w:val="18"/>
      <w:szCs w:val="20"/>
    </w:rPr>
  </w:style>
  <w:style w:type="paragraph" w:styleId="37">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38">
    <w:name w:val="Title"/>
    <w:basedOn w:val="1"/>
    <w:next w:val="18"/>
    <w:link w:val="97"/>
    <w:qFormat/>
    <w:uiPriority w:val="99"/>
    <w:pPr>
      <w:keepNext/>
      <w:suppressAutoHyphens/>
      <w:spacing w:before="240" w:after="120"/>
    </w:pPr>
    <w:rPr>
      <w:rFonts w:ascii="DejaVu Sans" w:hAnsi="DejaVu Sans" w:eastAsia="Times New Roman" w:cs="DejaVu Sans"/>
      <w:kern w:val="1"/>
      <w:sz w:val="28"/>
      <w:szCs w:val="28"/>
      <w:lang w:eastAsia="ar-SA"/>
    </w:rPr>
  </w:style>
  <w:style w:type="character" w:styleId="40">
    <w:name w:val="page number"/>
    <w:basedOn w:val="39"/>
    <w:qFormat/>
    <w:uiPriority w:val="0"/>
  </w:style>
  <w:style w:type="character" w:styleId="41">
    <w:name w:val="FollowedHyperlink"/>
    <w:qFormat/>
    <w:uiPriority w:val="0"/>
    <w:rPr>
      <w:color w:val="800080"/>
      <w:u w:val="single"/>
    </w:rPr>
  </w:style>
  <w:style w:type="character" w:styleId="42">
    <w:name w:val="Hyperlink"/>
    <w:qFormat/>
    <w:uiPriority w:val="99"/>
    <w:rPr>
      <w:color w:val="0000FF"/>
      <w:u w:val="single"/>
    </w:rPr>
  </w:style>
  <w:style w:type="character" w:styleId="43">
    <w:name w:val="annotation reference"/>
    <w:qFormat/>
    <w:uiPriority w:val="0"/>
    <w:rPr>
      <w:rFonts w:cs="Times New Roman"/>
      <w:sz w:val="21"/>
      <w:szCs w:val="21"/>
    </w:r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46">
    <w:name w:val="标题 1 Char"/>
    <w:link w:val="2"/>
    <w:qFormat/>
    <w:locked/>
    <w:uiPriority w:val="99"/>
    <w:rPr>
      <w:rFonts w:ascii="楷体_GB2312" w:eastAsia="楷体_GB2312" w:cs="宋体"/>
      <w:b/>
      <w:color w:val="000000"/>
      <w:sz w:val="44"/>
      <w:lang w:val="en-US" w:eastAsia="zh-CN" w:bidi="ar-SA"/>
    </w:rPr>
  </w:style>
  <w:style w:type="character" w:customStyle="1" w:styleId="47">
    <w:name w:val="标题 2 Char"/>
    <w:link w:val="3"/>
    <w:qFormat/>
    <w:locked/>
    <w:uiPriority w:val="0"/>
    <w:rPr>
      <w:rFonts w:ascii="Arial" w:hAnsi="Arial" w:eastAsia="黑体"/>
      <w:b/>
      <w:kern w:val="2"/>
      <w:sz w:val="32"/>
      <w:lang w:val="en-US" w:eastAsia="zh-CN" w:bidi="ar-SA"/>
    </w:rPr>
  </w:style>
  <w:style w:type="character" w:customStyle="1" w:styleId="48">
    <w:name w:val="标题 3 Char"/>
    <w:link w:val="4"/>
    <w:qFormat/>
    <w:locked/>
    <w:uiPriority w:val="99"/>
    <w:rPr>
      <w:rFonts w:eastAsia="宋体"/>
      <w:b/>
      <w:sz w:val="32"/>
      <w:lang w:val="en-US" w:eastAsia="zh-CN" w:bidi="ar-SA"/>
    </w:rPr>
  </w:style>
  <w:style w:type="character" w:customStyle="1" w:styleId="49">
    <w:name w:val="标题 4 Char"/>
    <w:link w:val="5"/>
    <w:qFormat/>
    <w:locked/>
    <w:uiPriority w:val="0"/>
    <w:rPr>
      <w:rFonts w:ascii="Arial" w:hAnsi="Arial" w:eastAsia="黑体"/>
      <w:b/>
      <w:sz w:val="28"/>
      <w:lang w:val="en-US" w:eastAsia="zh-CN" w:bidi="ar-SA"/>
    </w:rPr>
  </w:style>
  <w:style w:type="character" w:customStyle="1" w:styleId="50">
    <w:name w:val="标题 5 Char"/>
    <w:link w:val="6"/>
    <w:qFormat/>
    <w:locked/>
    <w:uiPriority w:val="0"/>
    <w:rPr>
      <w:rFonts w:eastAsia="宋体"/>
      <w:b/>
      <w:sz w:val="28"/>
      <w:lang w:val="en-US" w:eastAsia="zh-CN" w:bidi="ar-SA"/>
    </w:rPr>
  </w:style>
  <w:style w:type="character" w:customStyle="1" w:styleId="51">
    <w:name w:val="标题 6 Char"/>
    <w:link w:val="7"/>
    <w:qFormat/>
    <w:locked/>
    <w:uiPriority w:val="0"/>
    <w:rPr>
      <w:rFonts w:ascii="Arial" w:hAnsi="Arial" w:eastAsia="黑体"/>
      <w:b/>
      <w:sz w:val="24"/>
      <w:lang w:val="en-US" w:eastAsia="zh-CN" w:bidi="ar-SA"/>
    </w:rPr>
  </w:style>
  <w:style w:type="character" w:customStyle="1" w:styleId="52">
    <w:name w:val="标题 7 Char"/>
    <w:link w:val="8"/>
    <w:qFormat/>
    <w:locked/>
    <w:uiPriority w:val="0"/>
    <w:rPr>
      <w:rFonts w:eastAsia="宋体"/>
      <w:b/>
      <w:sz w:val="24"/>
      <w:lang w:val="en-US" w:eastAsia="zh-CN" w:bidi="ar-SA"/>
    </w:rPr>
  </w:style>
  <w:style w:type="character" w:customStyle="1" w:styleId="53">
    <w:name w:val="标题 8 Char"/>
    <w:link w:val="9"/>
    <w:qFormat/>
    <w:locked/>
    <w:uiPriority w:val="0"/>
    <w:rPr>
      <w:rFonts w:ascii="Arial" w:hAnsi="Arial" w:eastAsia="黑体"/>
      <w:sz w:val="24"/>
      <w:lang w:val="en-US" w:eastAsia="zh-CN" w:bidi="ar-SA"/>
    </w:rPr>
  </w:style>
  <w:style w:type="character" w:customStyle="1" w:styleId="54">
    <w:name w:val="标题 9 Char"/>
    <w:link w:val="10"/>
    <w:qFormat/>
    <w:locked/>
    <w:uiPriority w:val="0"/>
    <w:rPr>
      <w:rFonts w:ascii="Arial" w:hAnsi="Arial" w:eastAsia="黑体"/>
      <w:sz w:val="21"/>
      <w:lang w:val="en-US" w:eastAsia="zh-CN" w:bidi="ar-SA"/>
    </w:rPr>
  </w:style>
  <w:style w:type="character" w:customStyle="1" w:styleId="55">
    <w:name w:val="批注文字 Char"/>
    <w:link w:val="12"/>
    <w:qFormat/>
    <w:locked/>
    <w:uiPriority w:val="99"/>
    <w:rPr>
      <w:kern w:val="2"/>
      <w:sz w:val="21"/>
      <w:lang w:bidi="ar-SA"/>
    </w:rPr>
  </w:style>
  <w:style w:type="character" w:customStyle="1" w:styleId="56">
    <w:name w:val="页眉 Char"/>
    <w:link w:val="28"/>
    <w:qFormat/>
    <w:locked/>
    <w:uiPriority w:val="99"/>
    <w:rPr>
      <w:sz w:val="18"/>
      <w:lang w:bidi="ar-SA"/>
    </w:rPr>
  </w:style>
  <w:style w:type="character" w:customStyle="1" w:styleId="57">
    <w:name w:val="页脚 Char"/>
    <w:link w:val="27"/>
    <w:qFormat/>
    <w:locked/>
    <w:uiPriority w:val="0"/>
    <w:rPr>
      <w:sz w:val="18"/>
      <w:lang w:bidi="ar-SA"/>
    </w:rPr>
  </w:style>
  <w:style w:type="character" w:customStyle="1" w:styleId="58">
    <w:name w:val="正文文本 Char"/>
    <w:link w:val="18"/>
    <w:qFormat/>
    <w:locked/>
    <w:uiPriority w:val="99"/>
    <w:rPr>
      <w:rFonts w:ascii="宋体" w:hAnsi="宋体" w:eastAsia="宋体"/>
      <w:sz w:val="28"/>
      <w:lang w:bidi="ar-SA"/>
    </w:rPr>
  </w:style>
  <w:style w:type="character" w:customStyle="1" w:styleId="59">
    <w:name w:val="正文文本缩进 Char"/>
    <w:link w:val="19"/>
    <w:qFormat/>
    <w:locked/>
    <w:uiPriority w:val="99"/>
    <w:rPr>
      <w:rFonts w:ascii="宋体" w:hAnsi="宋体" w:eastAsia="宋体"/>
      <w:sz w:val="28"/>
      <w:lang w:bidi="ar-SA"/>
    </w:rPr>
  </w:style>
  <w:style w:type="character" w:customStyle="1" w:styleId="60">
    <w:name w:val="日期 Char"/>
    <w:link w:val="24"/>
    <w:qFormat/>
    <w:locked/>
    <w:uiPriority w:val="0"/>
    <w:rPr>
      <w:rFonts w:ascii="宋体" w:hAnsi="宋体" w:eastAsia="宋体"/>
      <w:kern w:val="2"/>
      <w:sz w:val="21"/>
      <w:lang w:bidi="ar-SA"/>
    </w:rPr>
  </w:style>
  <w:style w:type="character" w:customStyle="1" w:styleId="61">
    <w:name w:val="正文文本 2 Char"/>
    <w:link w:val="36"/>
    <w:qFormat/>
    <w:locked/>
    <w:uiPriority w:val="0"/>
    <w:rPr>
      <w:rFonts w:ascii="楷体_GB2312" w:eastAsia="楷体_GB2312"/>
      <w:sz w:val="18"/>
      <w:lang w:bidi="ar-SA"/>
    </w:rPr>
  </w:style>
  <w:style w:type="character" w:customStyle="1" w:styleId="62">
    <w:name w:val="正文文本 3 Char"/>
    <w:link w:val="17"/>
    <w:qFormat/>
    <w:locked/>
    <w:uiPriority w:val="0"/>
    <w:rPr>
      <w:rFonts w:ascii="楷体_GB2312" w:eastAsia="楷体_GB2312"/>
      <w:b/>
      <w:kern w:val="2"/>
      <w:sz w:val="44"/>
      <w:lang w:bidi="ar-SA"/>
    </w:rPr>
  </w:style>
  <w:style w:type="character" w:customStyle="1" w:styleId="63">
    <w:name w:val="正文文本缩进 2 Char"/>
    <w:link w:val="25"/>
    <w:qFormat/>
    <w:locked/>
    <w:uiPriority w:val="0"/>
    <w:rPr>
      <w:rFonts w:ascii="楷体_GB2312" w:eastAsia="楷体_GB2312"/>
      <w:b/>
      <w:spacing w:val="-24"/>
      <w:sz w:val="28"/>
      <w:lang w:bidi="ar-SA"/>
    </w:rPr>
  </w:style>
  <w:style w:type="character" w:customStyle="1" w:styleId="64">
    <w:name w:val="正文文本缩进 3 Char"/>
    <w:link w:val="33"/>
    <w:qFormat/>
    <w:locked/>
    <w:uiPriority w:val="0"/>
    <w:rPr>
      <w:rFonts w:ascii="仿宋_GB2312" w:eastAsia="仿宋_GB2312"/>
      <w:sz w:val="28"/>
      <w:lang w:bidi="ar-SA"/>
    </w:rPr>
  </w:style>
  <w:style w:type="character" w:customStyle="1" w:styleId="65">
    <w:name w:val="文档结构图 Char"/>
    <w:link w:val="16"/>
    <w:qFormat/>
    <w:locked/>
    <w:uiPriority w:val="0"/>
    <w:rPr>
      <w:shd w:val="clear" w:color="auto" w:fill="000080"/>
      <w:lang w:bidi="ar-SA"/>
    </w:rPr>
  </w:style>
  <w:style w:type="character" w:customStyle="1" w:styleId="66">
    <w:name w:val="纯文本 Char"/>
    <w:link w:val="22"/>
    <w:qFormat/>
    <w:locked/>
    <w:uiPriority w:val="99"/>
    <w:rPr>
      <w:rFonts w:ascii="宋体" w:hAnsi="Courier New" w:eastAsia="宋体"/>
      <w:kern w:val="2"/>
      <w:sz w:val="21"/>
      <w:lang w:bidi="ar-SA"/>
    </w:rPr>
  </w:style>
  <w:style w:type="character" w:customStyle="1" w:styleId="67">
    <w:name w:val="批注框文本 Char"/>
    <w:link w:val="26"/>
    <w:qFormat/>
    <w:locked/>
    <w:uiPriority w:val="99"/>
    <w:rPr>
      <w:sz w:val="18"/>
      <w:lang w:bidi="ar-SA"/>
    </w:rPr>
  </w:style>
  <w:style w:type="paragraph" w:customStyle="1" w:styleId="68">
    <w:name w:val="msolistparagraph"/>
    <w:basedOn w:val="1"/>
    <w:qFormat/>
    <w:uiPriority w:val="0"/>
    <w:pPr>
      <w:ind w:firstLine="420" w:firstLineChars="200"/>
    </w:pPr>
    <w:rPr>
      <w:rFonts w:ascii="Calibri" w:hAnsi="Calibri"/>
      <w:szCs w:val="22"/>
    </w:rPr>
  </w:style>
  <w:style w:type="paragraph" w:customStyle="1" w:styleId="69">
    <w:name w:val="15"/>
    <w:basedOn w:val="1"/>
    <w:qFormat/>
    <w:uiPriority w:val="0"/>
    <w:pPr>
      <w:widowControl/>
      <w:spacing w:before="100" w:beforeAutospacing="1" w:after="100" w:afterAutospacing="1"/>
    </w:pPr>
    <w:rPr>
      <w:rFonts w:ascii="宋体" w:hAnsi="宋体"/>
      <w:kern w:val="0"/>
      <w:szCs w:val="20"/>
    </w:rPr>
  </w:style>
  <w:style w:type="paragraph" w:customStyle="1" w:styleId="70">
    <w:name w:val="Char"/>
    <w:basedOn w:val="1"/>
    <w:qFormat/>
    <w:uiPriority w:val="0"/>
    <w:pPr>
      <w:widowControl/>
      <w:tabs>
        <w:tab w:val="left" w:pos="360"/>
      </w:tabs>
      <w:jc w:val="left"/>
    </w:pPr>
    <w:rPr>
      <w:kern w:val="0"/>
      <w:sz w:val="20"/>
      <w:szCs w:val="20"/>
    </w:rPr>
  </w:style>
  <w:style w:type="paragraph" w:customStyle="1" w:styleId="71">
    <w:name w:val="0"/>
    <w:basedOn w:val="1"/>
    <w:qFormat/>
    <w:uiPriority w:val="0"/>
    <w:pPr>
      <w:widowControl/>
    </w:pPr>
    <w:rPr>
      <w:kern w:val="0"/>
      <w:szCs w:val="20"/>
    </w:rPr>
  </w:style>
  <w:style w:type="paragraph" w:customStyle="1" w:styleId="72">
    <w:name w:val="font6"/>
    <w:basedOn w:val="1"/>
    <w:qFormat/>
    <w:uiPriority w:val="0"/>
    <w:pPr>
      <w:widowControl/>
      <w:snapToGrid w:val="0"/>
      <w:spacing w:before="100" w:beforeAutospacing="1" w:after="100" w:afterAutospacing="1"/>
      <w:jc w:val="left"/>
    </w:pPr>
    <w:rPr>
      <w:rFonts w:ascii="楷体_GB2312" w:eastAsia="楷体_GB2312"/>
      <w:kern w:val="0"/>
      <w:sz w:val="24"/>
      <w:szCs w:val="20"/>
      <w:u w:color="000000"/>
    </w:rPr>
  </w:style>
  <w:style w:type="paragraph" w:customStyle="1" w:styleId="73">
    <w:name w:val="xl24"/>
    <w:basedOn w:val="1"/>
    <w:qFormat/>
    <w:uiPriority w:val="0"/>
    <w:pPr>
      <w:widowControl/>
      <w:spacing w:before="100" w:beforeAutospacing="1" w:after="100" w:afterAutospacing="1"/>
      <w:jc w:val="center"/>
    </w:pPr>
    <w:rPr>
      <w:rFonts w:ascii="楷体_GB2312" w:hAnsi="宋体" w:eastAsia="楷体_GB2312"/>
      <w:kern w:val="0"/>
      <w:sz w:val="24"/>
      <w:szCs w:val="20"/>
    </w:rPr>
  </w:style>
  <w:style w:type="paragraph" w:customStyle="1" w:styleId="74">
    <w:name w:val="xl31"/>
    <w:basedOn w:val="1"/>
    <w:qFormat/>
    <w:uiPriority w:val="0"/>
    <w:pPr>
      <w:widowControl/>
      <w:pBdr>
        <w:left w:val="single" w:color="auto" w:sz="4" w:space="0"/>
        <w:bottom w:val="single" w:color="auto" w:sz="4" w:space="0"/>
      </w:pBdr>
      <w:snapToGrid w:val="0"/>
      <w:spacing w:before="100" w:beforeAutospacing="1" w:after="100" w:afterAutospacing="1"/>
      <w:jc w:val="center"/>
    </w:pPr>
    <w:rPr>
      <w:rFonts w:ascii="宋体" w:hAnsi="宋体" w:eastAsia="楷体_GB2312"/>
      <w:kern w:val="0"/>
      <w:sz w:val="24"/>
      <w:szCs w:val="20"/>
      <w:u w:color="000000"/>
    </w:rPr>
  </w:style>
  <w:style w:type="paragraph" w:customStyle="1" w:styleId="75">
    <w:name w:val="目录文字"/>
    <w:basedOn w:val="1"/>
    <w:qFormat/>
    <w:uiPriority w:val="0"/>
    <w:pPr>
      <w:widowControl/>
      <w:spacing w:line="480" w:lineRule="auto"/>
      <w:jc w:val="left"/>
    </w:pPr>
    <w:rPr>
      <w:rFonts w:ascii="宋体" w:hAnsi="宋体"/>
      <w:kern w:val="0"/>
      <w:sz w:val="24"/>
      <w:szCs w:val="20"/>
    </w:rPr>
  </w:style>
  <w:style w:type="paragraph" w:customStyle="1" w:styleId="76">
    <w:name w:val="Char Char Char Char"/>
    <w:basedOn w:val="1"/>
    <w:qFormat/>
    <w:uiPriority w:val="0"/>
    <w:pPr>
      <w:adjustRightInd w:val="0"/>
      <w:spacing w:line="360" w:lineRule="atLeast"/>
    </w:pPr>
    <w:rPr>
      <w:rFonts w:ascii="Tahoma" w:hAnsi="Tahoma"/>
      <w:sz w:val="24"/>
      <w:szCs w:val="20"/>
    </w:rPr>
  </w:style>
  <w:style w:type="paragraph" w:customStyle="1" w:styleId="77">
    <w:name w:val="xl28"/>
    <w:basedOn w:val="1"/>
    <w:qFormat/>
    <w:uiPriority w:val="0"/>
    <w:pPr>
      <w:widowControl/>
      <w:spacing w:before="100" w:beforeAutospacing="1" w:after="100" w:afterAutospacing="1"/>
      <w:jc w:val="center"/>
    </w:pPr>
    <w:rPr>
      <w:rFonts w:ascii="楷体_GB2312" w:hAnsi="宋体" w:eastAsia="楷体_GB2312"/>
      <w:kern w:val="0"/>
      <w:sz w:val="48"/>
      <w:szCs w:val="20"/>
    </w:rPr>
  </w:style>
  <w:style w:type="paragraph" w:customStyle="1" w:styleId="78">
    <w:name w:val="Blockquote"/>
    <w:basedOn w:val="1"/>
    <w:qFormat/>
    <w:uiPriority w:val="99"/>
    <w:pPr>
      <w:autoSpaceDE w:val="0"/>
      <w:autoSpaceDN w:val="0"/>
      <w:adjustRightInd w:val="0"/>
      <w:spacing w:before="100" w:after="100"/>
      <w:ind w:left="360" w:right="360"/>
      <w:jc w:val="left"/>
    </w:pPr>
    <w:rPr>
      <w:kern w:val="0"/>
      <w:sz w:val="24"/>
      <w:szCs w:val="20"/>
    </w:rPr>
  </w:style>
  <w:style w:type="character" w:customStyle="1" w:styleId="79">
    <w:name w:val="flname8"/>
    <w:basedOn w:val="39"/>
    <w:qFormat/>
    <w:uiPriority w:val="0"/>
  </w:style>
  <w:style w:type="character" w:customStyle="1" w:styleId="80">
    <w:name w:val="textcontents1"/>
    <w:qFormat/>
    <w:uiPriority w:val="0"/>
    <w:rPr>
      <w:color w:val="000000"/>
      <w:sz w:val="28"/>
    </w:rPr>
  </w:style>
  <w:style w:type="character" w:customStyle="1" w:styleId="81">
    <w:name w:val="infodetail"/>
    <w:basedOn w:val="39"/>
    <w:qFormat/>
    <w:uiPriority w:val="0"/>
  </w:style>
  <w:style w:type="character" w:customStyle="1" w:styleId="82">
    <w:name w:val="WW8Num6z0"/>
    <w:qFormat/>
    <w:uiPriority w:val="99"/>
    <w:rPr>
      <w:u w:val="none"/>
    </w:rPr>
  </w:style>
  <w:style w:type="character" w:customStyle="1" w:styleId="83">
    <w:name w:val="WW8Num13z0"/>
    <w:qFormat/>
    <w:uiPriority w:val="99"/>
    <w:rPr>
      <w:u w:val="none"/>
    </w:rPr>
  </w:style>
  <w:style w:type="character" w:customStyle="1" w:styleId="84">
    <w:name w:val="WW8Num16z0"/>
    <w:qFormat/>
    <w:uiPriority w:val="99"/>
    <w:rPr>
      <w:lang w:val="en-US"/>
    </w:rPr>
  </w:style>
  <w:style w:type="character" w:customStyle="1" w:styleId="85">
    <w:name w:val="WW8Num29z0"/>
    <w:qFormat/>
    <w:uiPriority w:val="99"/>
    <w:rPr>
      <w:u w:val="none"/>
    </w:rPr>
  </w:style>
  <w:style w:type="character" w:customStyle="1" w:styleId="86">
    <w:name w:val="WW8Num32z0"/>
    <w:qFormat/>
    <w:uiPriority w:val="99"/>
    <w:rPr>
      <w:u w:val="none"/>
    </w:rPr>
  </w:style>
  <w:style w:type="character" w:customStyle="1" w:styleId="87">
    <w:name w:val="Absatz-Standardschriftart"/>
    <w:qFormat/>
    <w:uiPriority w:val="99"/>
  </w:style>
  <w:style w:type="character" w:customStyle="1" w:styleId="88">
    <w:name w:val="WW-Absatz-Standardschriftart"/>
    <w:qFormat/>
    <w:uiPriority w:val="99"/>
  </w:style>
  <w:style w:type="character" w:customStyle="1" w:styleId="89">
    <w:name w:val="WW-Absatz-Standardschriftart1"/>
    <w:qFormat/>
    <w:uiPriority w:val="99"/>
  </w:style>
  <w:style w:type="character" w:customStyle="1" w:styleId="90">
    <w:name w:val="WW8Num14z0"/>
    <w:qFormat/>
    <w:uiPriority w:val="99"/>
    <w:rPr>
      <w:u w:val="none"/>
    </w:rPr>
  </w:style>
  <w:style w:type="character" w:customStyle="1" w:styleId="91">
    <w:name w:val="WW8Num17z0"/>
    <w:qFormat/>
    <w:uiPriority w:val="99"/>
    <w:rPr>
      <w:lang w:val="en-US"/>
    </w:rPr>
  </w:style>
  <w:style w:type="character" w:customStyle="1" w:styleId="92">
    <w:name w:val="WW8Num18z0"/>
    <w:qFormat/>
    <w:uiPriority w:val="99"/>
    <w:rPr>
      <w:rFonts w:ascii="宋体" w:hAnsi="宋体" w:eastAsia="宋体"/>
      <w:sz w:val="18"/>
    </w:rPr>
  </w:style>
  <w:style w:type="character" w:customStyle="1" w:styleId="93">
    <w:name w:val="WW8Num18z1"/>
    <w:qFormat/>
    <w:uiPriority w:val="99"/>
    <w:rPr>
      <w:rFonts w:ascii="Wingdings" w:hAnsi="Wingdings"/>
    </w:rPr>
  </w:style>
  <w:style w:type="character" w:customStyle="1" w:styleId="94">
    <w:name w:val="WW8Num36z0"/>
    <w:qFormat/>
    <w:uiPriority w:val="99"/>
    <w:rPr>
      <w:u w:val="none"/>
    </w:rPr>
  </w:style>
  <w:style w:type="character" w:customStyle="1" w:styleId="95">
    <w:name w:val="WW8Num39z0"/>
    <w:qFormat/>
    <w:uiPriority w:val="99"/>
    <w:rPr>
      <w:u w:val="none"/>
    </w:rPr>
  </w:style>
  <w:style w:type="character" w:customStyle="1" w:styleId="96">
    <w:name w:val="默认段落字体1"/>
    <w:qFormat/>
    <w:uiPriority w:val="99"/>
  </w:style>
  <w:style w:type="character" w:customStyle="1" w:styleId="97">
    <w:name w:val="标题 Char"/>
    <w:basedOn w:val="39"/>
    <w:link w:val="38"/>
    <w:qFormat/>
    <w:uiPriority w:val="99"/>
    <w:rPr>
      <w:rFonts w:ascii="DejaVu Sans" w:hAnsi="DejaVu Sans" w:eastAsia="Times New Roman" w:cs="DejaVu Sans"/>
      <w:kern w:val="1"/>
      <w:sz w:val="28"/>
      <w:szCs w:val="28"/>
      <w:lang w:eastAsia="ar-SA"/>
    </w:rPr>
  </w:style>
  <w:style w:type="paragraph" w:customStyle="1" w:styleId="98">
    <w:name w:val="标签"/>
    <w:basedOn w:val="1"/>
    <w:qFormat/>
    <w:uiPriority w:val="99"/>
    <w:pPr>
      <w:suppressLineNumbers/>
      <w:suppressAutoHyphens/>
      <w:spacing w:before="120" w:after="120"/>
    </w:pPr>
    <w:rPr>
      <w:i/>
      <w:iCs/>
      <w:kern w:val="1"/>
      <w:sz w:val="24"/>
      <w:lang w:eastAsia="ar-SA"/>
    </w:rPr>
  </w:style>
  <w:style w:type="paragraph" w:customStyle="1" w:styleId="99">
    <w:name w:val="目录"/>
    <w:basedOn w:val="1"/>
    <w:qFormat/>
    <w:uiPriority w:val="99"/>
    <w:pPr>
      <w:suppressLineNumbers/>
      <w:suppressAutoHyphens/>
    </w:pPr>
    <w:rPr>
      <w:kern w:val="1"/>
      <w:szCs w:val="20"/>
      <w:lang w:eastAsia="ar-SA"/>
    </w:rPr>
  </w:style>
  <w:style w:type="paragraph" w:customStyle="1" w:styleId="100">
    <w:name w:val="标题1"/>
    <w:basedOn w:val="1"/>
    <w:next w:val="18"/>
    <w:qFormat/>
    <w:uiPriority w:val="99"/>
    <w:pPr>
      <w:keepNext/>
      <w:suppressAutoHyphens/>
      <w:spacing w:before="240" w:after="120"/>
    </w:pPr>
    <w:rPr>
      <w:rFonts w:ascii="DejaVu Sans" w:hAnsi="DejaVu Sans" w:cs="DejaVu Sans"/>
      <w:kern w:val="1"/>
      <w:sz w:val="28"/>
      <w:szCs w:val="28"/>
      <w:lang w:eastAsia="ar-SA"/>
    </w:rPr>
  </w:style>
  <w:style w:type="paragraph" w:customStyle="1" w:styleId="101">
    <w:name w:val="正文文本缩进 21"/>
    <w:basedOn w:val="1"/>
    <w:qFormat/>
    <w:uiPriority w:val="99"/>
    <w:pPr>
      <w:suppressAutoHyphens/>
      <w:spacing w:line="460" w:lineRule="atLeast"/>
      <w:ind w:left="315" w:firstLine="525"/>
    </w:pPr>
    <w:rPr>
      <w:kern w:val="1"/>
      <w:szCs w:val="20"/>
      <w:lang w:eastAsia="ar-SA"/>
    </w:rPr>
  </w:style>
  <w:style w:type="paragraph" w:customStyle="1" w:styleId="102">
    <w:name w:val="正文文本缩进 31"/>
    <w:basedOn w:val="1"/>
    <w:qFormat/>
    <w:uiPriority w:val="99"/>
    <w:pPr>
      <w:suppressAutoHyphens/>
      <w:spacing w:line="460" w:lineRule="atLeast"/>
      <w:ind w:left="525" w:firstLine="420"/>
    </w:pPr>
    <w:rPr>
      <w:kern w:val="1"/>
      <w:szCs w:val="20"/>
      <w:lang w:eastAsia="ar-SA"/>
    </w:rPr>
  </w:style>
  <w:style w:type="character" w:customStyle="1" w:styleId="103">
    <w:name w:val="正文首行缩进 Char"/>
    <w:basedOn w:val="58"/>
    <w:link w:val="14"/>
    <w:qFormat/>
    <w:uiPriority w:val="99"/>
    <w:rPr>
      <w:rFonts w:ascii="宋体" w:hAnsi="宋体" w:eastAsia="仿宋_GB2312"/>
      <w:kern w:val="1"/>
      <w:sz w:val="28"/>
      <w:lang w:eastAsia="ar-SA" w:bidi="ar-SA"/>
    </w:rPr>
  </w:style>
  <w:style w:type="paragraph" w:customStyle="1" w:styleId="104">
    <w:name w:val="日期1"/>
    <w:basedOn w:val="1"/>
    <w:next w:val="1"/>
    <w:qFormat/>
    <w:uiPriority w:val="99"/>
    <w:pPr>
      <w:suppressAutoHyphens/>
    </w:pPr>
    <w:rPr>
      <w:rFonts w:eastAsia="方正大标宋简体"/>
      <w:b/>
      <w:kern w:val="1"/>
      <w:sz w:val="32"/>
      <w:szCs w:val="20"/>
      <w:lang w:eastAsia="ar-SA"/>
    </w:rPr>
  </w:style>
  <w:style w:type="paragraph" w:customStyle="1" w:styleId="105">
    <w:name w:val="表格内容"/>
    <w:basedOn w:val="1"/>
    <w:qFormat/>
    <w:uiPriority w:val="99"/>
    <w:pPr>
      <w:suppressLineNumbers/>
      <w:suppressAutoHyphens/>
    </w:pPr>
    <w:rPr>
      <w:kern w:val="1"/>
      <w:szCs w:val="20"/>
      <w:lang w:eastAsia="ar-SA"/>
    </w:rPr>
  </w:style>
  <w:style w:type="paragraph" w:customStyle="1" w:styleId="106">
    <w:name w:val="表格标题"/>
    <w:basedOn w:val="105"/>
    <w:qFormat/>
    <w:uiPriority w:val="99"/>
    <w:pPr>
      <w:jc w:val="center"/>
    </w:pPr>
    <w:rPr>
      <w:b/>
      <w:bCs/>
    </w:rPr>
  </w:style>
  <w:style w:type="paragraph" w:customStyle="1" w:styleId="107">
    <w:name w:val="样式 标题 3 + (中文) 黑体 小四 非加粗 段前: 7.8 磅 段后: 0 磅 行距: 固定值 20 磅"/>
    <w:basedOn w:val="4"/>
    <w:qFormat/>
    <w:uiPriority w:val="99"/>
    <w:pPr>
      <w:widowControl w:val="0"/>
      <w:spacing w:before="0" w:after="0" w:line="400" w:lineRule="exact"/>
      <w:jc w:val="both"/>
    </w:pPr>
    <w:rPr>
      <w:rFonts w:eastAsia="黑体" w:cs="宋体"/>
      <w:b w:val="0"/>
      <w:kern w:val="2"/>
      <w:sz w:val="24"/>
    </w:rPr>
  </w:style>
  <w:style w:type="paragraph" w:customStyle="1" w:styleId="108">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character" w:customStyle="1" w:styleId="109">
    <w:name w:val="批注主题 Char"/>
    <w:basedOn w:val="55"/>
    <w:link w:val="11"/>
    <w:qFormat/>
    <w:uiPriority w:val="99"/>
    <w:rPr>
      <w:b/>
      <w:bCs/>
      <w:kern w:val="1"/>
      <w:sz w:val="21"/>
      <w:lang w:eastAsia="ar-SA" w:bidi="ar-SA"/>
    </w:rPr>
  </w:style>
  <w:style w:type="paragraph" w:customStyle="1" w:styleId="110">
    <w:name w:val="修订1"/>
    <w:hidden/>
    <w:semiHidden/>
    <w:qFormat/>
    <w:uiPriority w:val="99"/>
    <w:rPr>
      <w:rFonts w:ascii="Times New Roman" w:hAnsi="Times New Roman" w:eastAsia="宋体" w:cs="Times New Roman"/>
      <w:kern w:val="1"/>
      <w:sz w:val="21"/>
      <w:lang w:val="en-US" w:eastAsia="ar-SA" w:bidi="ar-SA"/>
    </w:rPr>
  </w:style>
  <w:style w:type="paragraph" w:customStyle="1" w:styleId="111">
    <w:name w:val="列出段落1"/>
    <w:basedOn w:val="1"/>
    <w:qFormat/>
    <w:uiPriority w:val="99"/>
    <w:pPr>
      <w:ind w:firstLine="420" w:firstLineChars="200"/>
    </w:pPr>
    <w:rPr>
      <w:rFonts w:ascii="Calibri" w:hAnsi="Calibri"/>
      <w:szCs w:val="22"/>
    </w:rPr>
  </w:style>
  <w:style w:type="paragraph" w:customStyle="1" w:styleId="112">
    <w:name w:val="TOC 标题1"/>
    <w:basedOn w:val="2"/>
    <w:next w:val="1"/>
    <w:unhideWhenUsed/>
    <w:qFormat/>
    <w:uiPriority w:val="39"/>
    <w:pPr>
      <w:pageBreakBefore w:val="0"/>
      <w:widowControl/>
      <w:adjustRightInd/>
      <w:snapToGrid/>
      <w:spacing w:before="480" w:after="0" w:line="276" w:lineRule="auto"/>
      <w:jc w:val="left"/>
      <w:outlineLvl w:val="9"/>
    </w:pPr>
    <w:rPr>
      <w:rFonts w:ascii="Cambria" w:hAnsi="Cambria" w:eastAsia="宋体" w:cs="Times New Roman"/>
      <w:bCs/>
      <w:color w:val="365F91"/>
      <w:sz w:val="28"/>
      <w:szCs w:val="28"/>
    </w:rPr>
  </w:style>
  <w:style w:type="character" w:customStyle="1" w:styleId="113">
    <w:name w:val="批注文字 Char2"/>
    <w:basedOn w:val="39"/>
    <w:qFormat/>
    <w:uiPriority w:val="0"/>
  </w:style>
  <w:style w:type="paragraph" w:customStyle="1" w:styleId="114">
    <w:name w:val="正文1"/>
    <w:qFormat/>
    <w:uiPriority w:val="0"/>
    <w:rPr>
      <w:rFonts w:ascii="Times New Roman" w:hAnsi="Times New Roman" w:eastAsia="宋体" w:cs="Times New Roman"/>
      <w:sz w:val="24"/>
      <w:szCs w:val="24"/>
      <w:lang w:val="en-US" w:eastAsia="zh-CN" w:bidi="ar-SA"/>
    </w:rPr>
  </w:style>
  <w:style w:type="paragraph" w:customStyle="1" w:styleId="115">
    <w:name w:val="列出段落11"/>
    <w:basedOn w:val="1"/>
    <w:qFormat/>
    <w:uiPriority w:val="99"/>
    <w:pPr>
      <w:spacing w:line="360" w:lineRule="auto"/>
      <w:ind w:firstLine="420" w:firstLineChars="200"/>
      <w:jc w:val="left"/>
    </w:pPr>
    <w:rPr>
      <w:rFonts w:ascii="Calibri" w:hAnsi="Calibri"/>
      <w:szCs w:val="22"/>
    </w:rPr>
  </w:style>
  <w:style w:type="paragraph" w:styleId="116">
    <w:name w:val="List Paragraph"/>
    <w:basedOn w:val="1"/>
    <w:unhideWhenUsed/>
    <w:qFormat/>
    <w:uiPriority w:val="99"/>
    <w:pPr>
      <w:ind w:firstLine="420" w:firstLineChars="200"/>
    </w:pPr>
  </w:style>
  <w:style w:type="character" w:customStyle="1" w:styleId="117">
    <w:name w:val="纯文本 Char1"/>
    <w:qFormat/>
    <w:uiPriority w:val="0"/>
    <w:rPr>
      <w:rFonts w:ascii="宋体" w:hAnsi="Courier New" w:eastAsia="宋体"/>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01E61E-3235-4A34-912F-36E4C74550D0}">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45</Pages>
  <Words>2427</Words>
  <Characters>13835</Characters>
  <Lines>115</Lines>
  <Paragraphs>32</Paragraphs>
  <ScaleCrop>false</ScaleCrop>
  <LinksUpToDate>false</LinksUpToDate>
  <CharactersWithSpaces>16230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2011-04-15T01:35:00Z</dcterms:created>
  <dc:creator>雨林木风</dc:creator>
  <cp:lastModifiedBy>梦丝语</cp:lastModifiedBy>
  <cp:lastPrinted>2017-10-28T05:18:00Z</cp:lastPrinted>
  <dcterms:modified xsi:type="dcterms:W3CDTF">2018-04-19T07:19:36Z</dcterms:modified>
  <dc:title>游府西街培训楼二层装修改造工程</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